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843" w:rsidRPr="00D178BA" w:rsidRDefault="003E7843" w:rsidP="003E7843">
      <w:pPr>
        <w:spacing w:before="240" w:line="360" w:lineRule="auto"/>
        <w:jc w:val="both"/>
        <w:rPr>
          <w:rFonts w:ascii="Rockwell Condensed" w:hAnsi="Rockwell Condensed"/>
          <w:b/>
          <w:bCs/>
          <w:sz w:val="28"/>
          <w:szCs w:val="28"/>
        </w:rPr>
      </w:pPr>
      <w:r w:rsidRPr="00D178BA">
        <w:rPr>
          <w:rFonts w:ascii="Rockwell Condensed" w:hAnsi="Rockwell Condensed"/>
          <w:b/>
          <w:bCs/>
          <w:sz w:val="28"/>
          <w:szCs w:val="28"/>
        </w:rPr>
        <w:t>I. Introduction :</w:t>
      </w:r>
    </w:p>
    <w:p w:rsidR="003E7843" w:rsidRPr="00D178BA" w:rsidRDefault="003E7843" w:rsidP="003E7843">
      <w:pPr>
        <w:autoSpaceDE w:val="0"/>
        <w:autoSpaceDN w:val="0"/>
        <w:adjustRightInd w:val="0"/>
        <w:spacing w:before="240" w:line="360" w:lineRule="auto"/>
        <w:ind w:firstLine="567"/>
        <w:jc w:val="both"/>
        <w:rPr>
          <w:rFonts w:asciiTheme="majorBidi" w:hAnsiTheme="majorBidi" w:cstheme="majorBidi"/>
          <w:i/>
          <w:iCs/>
          <w:sz w:val="28"/>
          <w:szCs w:val="28"/>
        </w:rPr>
      </w:pPr>
      <w:r w:rsidRPr="00D178BA">
        <w:rPr>
          <w:rFonts w:ascii="TimesNewRoman" w:hAnsi="TimesNewRoman" w:cs="TimesNewRoman"/>
          <w:sz w:val="28"/>
          <w:szCs w:val="28"/>
        </w:rPr>
        <w:t>Ce chapitre expose d’une façon générale les bitumes modifiés, les additifs qui peuvent</w:t>
      </w:r>
      <w:r>
        <w:rPr>
          <w:rFonts w:ascii="TimesNewRoman" w:hAnsi="TimesNewRoman" w:cs="TimesNewRoman"/>
          <w:sz w:val="28"/>
          <w:szCs w:val="28"/>
        </w:rPr>
        <w:t xml:space="preserve"> être </w:t>
      </w:r>
      <w:r w:rsidRPr="00D178BA">
        <w:rPr>
          <w:rFonts w:ascii="TimesNewRoman" w:hAnsi="TimesNewRoman" w:cs="TimesNewRoman"/>
          <w:sz w:val="28"/>
          <w:szCs w:val="28"/>
        </w:rPr>
        <w:t>ajouté au bitume pour changer les caractéristiques et le comportement</w:t>
      </w:r>
      <w:r w:rsidRPr="00D178BA">
        <w:rPr>
          <w:rFonts w:asciiTheme="majorBidi" w:hAnsiTheme="majorBidi" w:cstheme="majorBidi"/>
          <w:i/>
          <w:iCs/>
          <w:sz w:val="28"/>
          <w:szCs w:val="28"/>
        </w:rPr>
        <w:t>.</w:t>
      </w:r>
    </w:p>
    <w:p w:rsidR="003E7843" w:rsidRPr="00D178BA" w:rsidRDefault="003E7843" w:rsidP="003E7843">
      <w:pPr>
        <w:autoSpaceDE w:val="0"/>
        <w:autoSpaceDN w:val="0"/>
        <w:adjustRightInd w:val="0"/>
        <w:spacing w:before="240" w:line="360" w:lineRule="auto"/>
        <w:jc w:val="both"/>
        <w:rPr>
          <w:rFonts w:ascii="Rockwell Condensed" w:hAnsi="Rockwell Condensed"/>
          <w:b/>
          <w:bCs/>
          <w:sz w:val="28"/>
          <w:szCs w:val="28"/>
        </w:rPr>
      </w:pPr>
      <w:r w:rsidRPr="00D178BA">
        <w:rPr>
          <w:rFonts w:ascii="Rockwell Condensed" w:hAnsi="Rockwell Condensed"/>
          <w:b/>
          <w:bCs/>
          <w:sz w:val="28"/>
          <w:szCs w:val="28"/>
        </w:rPr>
        <w:t xml:space="preserve">II. Bitume modifié : </w:t>
      </w:r>
    </w:p>
    <w:p w:rsidR="003E7843" w:rsidRPr="00D178BA" w:rsidRDefault="003E7843" w:rsidP="003E7843">
      <w:pPr>
        <w:spacing w:before="240" w:line="360" w:lineRule="auto"/>
        <w:ind w:firstLine="567"/>
        <w:jc w:val="both"/>
        <w:rPr>
          <w:sz w:val="28"/>
          <w:szCs w:val="28"/>
        </w:rPr>
      </w:pPr>
      <w:r w:rsidRPr="00D178BA">
        <w:rPr>
          <w:sz w:val="28"/>
          <w:szCs w:val="28"/>
        </w:rPr>
        <w:t xml:space="preserve">Matériau bitumineux, dont la composition a été modifiée chimiquement ou physiquement par l'addition de produits (additifs) destinés à accroître ses performances </w:t>
      </w:r>
      <w:r w:rsidR="00431BE4">
        <w:rPr>
          <w:sz w:val="28"/>
          <w:szCs w:val="28"/>
        </w:rPr>
        <w:t>[22]</w:t>
      </w:r>
      <w:r w:rsidRPr="00D178BA">
        <w:rPr>
          <w:sz w:val="28"/>
          <w:szCs w:val="28"/>
        </w:rPr>
        <w:t xml:space="preserve">. </w:t>
      </w:r>
    </w:p>
    <w:p w:rsidR="003E7843" w:rsidRPr="00D178BA" w:rsidRDefault="003E7843" w:rsidP="003E7843">
      <w:pPr>
        <w:autoSpaceDE w:val="0"/>
        <w:autoSpaceDN w:val="0"/>
        <w:adjustRightInd w:val="0"/>
        <w:spacing w:before="240" w:line="360" w:lineRule="auto"/>
        <w:jc w:val="both"/>
        <w:rPr>
          <w:rFonts w:ascii="Rockwell Condensed" w:hAnsi="Rockwell Condensed"/>
          <w:b/>
          <w:bCs/>
          <w:sz w:val="28"/>
          <w:szCs w:val="28"/>
        </w:rPr>
      </w:pPr>
      <w:r w:rsidRPr="00D178BA">
        <w:rPr>
          <w:rFonts w:ascii="Rockwell Condensed" w:hAnsi="Rockwell Condensed"/>
          <w:b/>
          <w:bCs/>
          <w:sz w:val="28"/>
          <w:szCs w:val="28"/>
        </w:rPr>
        <w:t xml:space="preserve">III. Comment les additifs influent ? </w:t>
      </w:r>
    </w:p>
    <w:p w:rsidR="003E7843" w:rsidRPr="00D178BA" w:rsidRDefault="003E7843" w:rsidP="003E7843">
      <w:pPr>
        <w:spacing w:before="240" w:line="360" w:lineRule="auto"/>
        <w:ind w:firstLine="567"/>
        <w:jc w:val="both"/>
        <w:rPr>
          <w:sz w:val="28"/>
          <w:szCs w:val="28"/>
        </w:rPr>
      </w:pPr>
      <w:r w:rsidRPr="00D178BA">
        <w:rPr>
          <w:sz w:val="28"/>
          <w:szCs w:val="28"/>
        </w:rPr>
        <w:t xml:space="preserve">Les modifications apportées au bitume par l’ajout des additifs influent directement sur les propriétés physique, et en vue de la modification physique est d'améliorer les caractéristiques  mécaniques du mélange d'asphalte, d'accroître la durée de vie de la route, résister à l'orniérage à haute température et aux charges lourdes, et une crique de fatigue et de réduire l'épaisseur de la couche d'asphalte </w:t>
      </w:r>
      <w:r w:rsidR="00431BE4">
        <w:rPr>
          <w:sz w:val="28"/>
          <w:szCs w:val="28"/>
        </w:rPr>
        <w:t>[25]</w:t>
      </w:r>
      <w:r w:rsidRPr="00D178BA">
        <w:rPr>
          <w:sz w:val="28"/>
          <w:szCs w:val="28"/>
        </w:rPr>
        <w:t xml:space="preserve">. </w:t>
      </w:r>
    </w:p>
    <w:p w:rsidR="003E7843" w:rsidRPr="00D178BA" w:rsidRDefault="003E7843" w:rsidP="003E7843">
      <w:pPr>
        <w:autoSpaceDE w:val="0"/>
        <w:autoSpaceDN w:val="0"/>
        <w:adjustRightInd w:val="0"/>
        <w:spacing w:before="240" w:line="360" w:lineRule="auto"/>
        <w:jc w:val="both"/>
        <w:rPr>
          <w:rFonts w:ascii="Rockwell Condensed" w:hAnsi="Rockwell Condensed"/>
          <w:b/>
          <w:bCs/>
          <w:sz w:val="28"/>
          <w:szCs w:val="28"/>
        </w:rPr>
      </w:pPr>
      <w:r w:rsidRPr="00D178BA">
        <w:rPr>
          <w:rFonts w:ascii="Rockwell Condensed" w:hAnsi="Rockwell Condensed"/>
          <w:b/>
          <w:bCs/>
          <w:sz w:val="28"/>
          <w:szCs w:val="28"/>
        </w:rPr>
        <w:t xml:space="preserve">IV. Les propriétés : </w:t>
      </w:r>
    </w:p>
    <w:p w:rsidR="003E7843" w:rsidRPr="00D178BA" w:rsidRDefault="003E7843" w:rsidP="003E7843">
      <w:pPr>
        <w:spacing w:before="240" w:line="360" w:lineRule="auto"/>
        <w:ind w:firstLine="567"/>
        <w:jc w:val="both"/>
        <w:rPr>
          <w:sz w:val="28"/>
          <w:szCs w:val="28"/>
        </w:rPr>
      </w:pPr>
      <w:r w:rsidRPr="00D178BA">
        <w:rPr>
          <w:sz w:val="28"/>
          <w:szCs w:val="28"/>
        </w:rPr>
        <w:t xml:space="preserve">Les propriétés fondamentales d’un bitume modifié </w:t>
      </w:r>
      <w:r w:rsidR="00431BE4">
        <w:rPr>
          <w:sz w:val="28"/>
          <w:szCs w:val="28"/>
        </w:rPr>
        <w:t>[25]</w:t>
      </w:r>
      <w:r w:rsidRPr="00D178BA">
        <w:rPr>
          <w:sz w:val="28"/>
          <w:szCs w:val="28"/>
        </w:rPr>
        <w:t xml:space="preserve"> pour son utilisation en routes sont :</w:t>
      </w:r>
    </w:p>
    <w:p w:rsidR="003E7843" w:rsidRPr="00D178BA" w:rsidRDefault="003E7843" w:rsidP="003E7843">
      <w:pPr>
        <w:pStyle w:val="Paragraphedeliste"/>
        <w:numPr>
          <w:ilvl w:val="0"/>
          <w:numId w:val="2"/>
        </w:numPr>
        <w:spacing w:before="240" w:after="0" w:line="360" w:lineRule="auto"/>
        <w:ind w:firstLine="567"/>
        <w:jc w:val="both"/>
        <w:rPr>
          <w:rFonts w:ascii="Times New Roman" w:eastAsia="Times New Roman" w:hAnsi="Times New Roman" w:cs="Times New Roman"/>
          <w:sz w:val="28"/>
          <w:szCs w:val="28"/>
          <w:lang w:eastAsia="fr-FR"/>
        </w:rPr>
      </w:pPr>
      <w:r w:rsidRPr="00D178BA">
        <w:rPr>
          <w:rFonts w:ascii="Times New Roman" w:eastAsia="Times New Roman" w:hAnsi="Times New Roman" w:cs="Times New Roman"/>
          <w:sz w:val="28"/>
          <w:szCs w:val="28"/>
          <w:lang w:eastAsia="fr-FR"/>
        </w:rPr>
        <w:t>Bonne adhésivité ;</w:t>
      </w:r>
    </w:p>
    <w:p w:rsidR="003E7843" w:rsidRPr="00D178BA" w:rsidRDefault="003E7843" w:rsidP="003E7843">
      <w:pPr>
        <w:pStyle w:val="Paragraphedeliste"/>
        <w:numPr>
          <w:ilvl w:val="0"/>
          <w:numId w:val="2"/>
        </w:numPr>
        <w:spacing w:before="240" w:after="0" w:line="360" w:lineRule="auto"/>
        <w:ind w:firstLine="567"/>
        <w:jc w:val="both"/>
        <w:rPr>
          <w:rFonts w:ascii="Times New Roman" w:eastAsia="Times New Roman" w:hAnsi="Times New Roman" w:cs="Times New Roman"/>
          <w:sz w:val="28"/>
          <w:szCs w:val="28"/>
          <w:lang w:eastAsia="fr-FR"/>
        </w:rPr>
      </w:pPr>
      <w:r w:rsidRPr="00D178BA">
        <w:rPr>
          <w:rFonts w:ascii="Times New Roman" w:eastAsia="Times New Roman" w:hAnsi="Times New Roman" w:cs="Times New Roman"/>
          <w:sz w:val="28"/>
          <w:szCs w:val="28"/>
          <w:lang w:eastAsia="fr-FR"/>
        </w:rPr>
        <w:t>Bonne comportement rhéologique ;</w:t>
      </w:r>
    </w:p>
    <w:p w:rsidR="003E7843" w:rsidRPr="00D178BA" w:rsidRDefault="003E7843" w:rsidP="003E7843">
      <w:pPr>
        <w:pStyle w:val="Paragraphedeliste"/>
        <w:numPr>
          <w:ilvl w:val="0"/>
          <w:numId w:val="2"/>
        </w:numPr>
        <w:spacing w:before="240" w:after="0" w:line="360" w:lineRule="auto"/>
        <w:ind w:firstLine="567"/>
        <w:jc w:val="both"/>
        <w:rPr>
          <w:rFonts w:ascii="Times New Roman" w:eastAsia="Times New Roman" w:hAnsi="Times New Roman" w:cs="Times New Roman"/>
          <w:sz w:val="28"/>
          <w:szCs w:val="28"/>
          <w:lang w:eastAsia="fr-FR"/>
        </w:rPr>
      </w:pPr>
      <w:r w:rsidRPr="00D178BA">
        <w:rPr>
          <w:rFonts w:ascii="Times New Roman" w:eastAsia="Times New Roman" w:hAnsi="Times New Roman" w:cs="Times New Roman"/>
          <w:sz w:val="28"/>
          <w:szCs w:val="28"/>
          <w:lang w:eastAsia="fr-FR"/>
        </w:rPr>
        <w:t>Bonne résistance au vieillissement ;</w:t>
      </w:r>
    </w:p>
    <w:p w:rsidR="003E7843" w:rsidRPr="00D178BA" w:rsidRDefault="003E7843" w:rsidP="003E7843">
      <w:pPr>
        <w:pStyle w:val="Paragraphedeliste"/>
        <w:numPr>
          <w:ilvl w:val="0"/>
          <w:numId w:val="2"/>
        </w:numPr>
        <w:spacing w:before="240" w:after="0" w:line="360" w:lineRule="auto"/>
        <w:ind w:firstLine="567"/>
        <w:jc w:val="both"/>
        <w:rPr>
          <w:rFonts w:ascii="Times New Roman" w:eastAsia="Times New Roman" w:hAnsi="Times New Roman" w:cs="Times New Roman"/>
          <w:sz w:val="28"/>
          <w:szCs w:val="28"/>
          <w:lang w:eastAsia="fr-FR"/>
        </w:rPr>
      </w:pPr>
      <w:r w:rsidRPr="00D178BA">
        <w:rPr>
          <w:rFonts w:ascii="Times New Roman" w:eastAsia="Times New Roman" w:hAnsi="Times New Roman" w:cs="Times New Roman"/>
          <w:sz w:val="28"/>
          <w:szCs w:val="28"/>
          <w:lang w:eastAsia="fr-FR"/>
        </w:rPr>
        <w:t>Bonne stabilité de stockage ;</w:t>
      </w:r>
    </w:p>
    <w:p w:rsidR="003E7843" w:rsidRPr="00D178BA" w:rsidRDefault="003E7843" w:rsidP="003E7843">
      <w:pPr>
        <w:pStyle w:val="Paragraphedeliste"/>
        <w:numPr>
          <w:ilvl w:val="0"/>
          <w:numId w:val="2"/>
        </w:numPr>
        <w:spacing w:before="240" w:after="0" w:line="360" w:lineRule="auto"/>
        <w:ind w:firstLine="567"/>
        <w:jc w:val="both"/>
        <w:rPr>
          <w:rFonts w:ascii="Times New Roman" w:eastAsia="Times New Roman" w:hAnsi="Times New Roman" w:cs="Times New Roman"/>
          <w:sz w:val="28"/>
          <w:szCs w:val="28"/>
          <w:lang w:eastAsia="fr-FR"/>
        </w:rPr>
      </w:pPr>
      <w:r w:rsidRPr="00D178BA">
        <w:rPr>
          <w:rFonts w:ascii="Times New Roman" w:eastAsia="Times New Roman" w:hAnsi="Times New Roman" w:cs="Times New Roman"/>
          <w:sz w:val="28"/>
          <w:szCs w:val="28"/>
          <w:lang w:eastAsia="fr-FR"/>
        </w:rPr>
        <w:t>Bonne cohésion ;</w:t>
      </w:r>
    </w:p>
    <w:p w:rsidR="003E7843" w:rsidRPr="00D178BA" w:rsidRDefault="003E7843" w:rsidP="003E7843">
      <w:pPr>
        <w:pStyle w:val="Paragraphedeliste"/>
        <w:numPr>
          <w:ilvl w:val="0"/>
          <w:numId w:val="2"/>
        </w:numPr>
        <w:spacing w:before="240" w:after="0" w:line="360" w:lineRule="auto"/>
        <w:ind w:firstLine="567"/>
        <w:jc w:val="both"/>
        <w:rPr>
          <w:sz w:val="28"/>
          <w:szCs w:val="28"/>
        </w:rPr>
      </w:pPr>
      <w:r w:rsidRPr="00D178BA">
        <w:rPr>
          <w:rFonts w:ascii="Times New Roman" w:eastAsia="Times New Roman" w:hAnsi="Times New Roman" w:cs="Times New Roman"/>
          <w:sz w:val="28"/>
          <w:szCs w:val="28"/>
          <w:lang w:eastAsia="fr-FR"/>
        </w:rPr>
        <w:t xml:space="preserve">Bonne élasticité. </w:t>
      </w:r>
    </w:p>
    <w:p w:rsidR="003E7843" w:rsidRPr="00D178BA" w:rsidRDefault="003E7843" w:rsidP="003E7843">
      <w:pPr>
        <w:spacing w:before="240" w:line="360" w:lineRule="auto"/>
        <w:jc w:val="both"/>
        <w:rPr>
          <w:sz w:val="28"/>
          <w:szCs w:val="28"/>
        </w:rPr>
      </w:pPr>
      <w:r w:rsidRPr="00D178BA">
        <w:rPr>
          <w:rFonts w:ascii="Rockwell Condensed" w:hAnsi="Rockwell Condensed"/>
          <w:b/>
          <w:bCs/>
          <w:sz w:val="28"/>
          <w:szCs w:val="28"/>
        </w:rPr>
        <w:lastRenderedPageBreak/>
        <w:t>V. Les additifs</w:t>
      </w:r>
      <w:r w:rsidRPr="00D178BA">
        <w:rPr>
          <w:rFonts w:ascii="Matura MT Script Capitals" w:hAnsi="Matura MT Script Capitals"/>
          <w:b/>
          <w:bCs/>
          <w:sz w:val="28"/>
          <w:szCs w:val="28"/>
        </w:rPr>
        <w:t> </w:t>
      </w:r>
      <w:r w:rsidR="00431BE4">
        <w:rPr>
          <w:sz w:val="28"/>
          <w:szCs w:val="28"/>
        </w:rPr>
        <w:t>[23]</w:t>
      </w:r>
      <w:r w:rsidRPr="00D178BA">
        <w:rPr>
          <w:rFonts w:ascii="Matura MT Script Capitals" w:hAnsi="Matura MT Script Capitals"/>
          <w:b/>
          <w:bCs/>
          <w:sz w:val="28"/>
          <w:szCs w:val="28"/>
        </w:rPr>
        <w:t xml:space="preserve">:    </w:t>
      </w:r>
    </w:p>
    <w:p w:rsidR="003E7843" w:rsidRPr="00D178BA" w:rsidRDefault="003E7843" w:rsidP="003E7843">
      <w:pPr>
        <w:tabs>
          <w:tab w:val="center" w:pos="4536"/>
        </w:tabs>
        <w:spacing w:before="240" w:line="360" w:lineRule="auto"/>
        <w:ind w:firstLine="567"/>
        <w:jc w:val="both"/>
        <w:outlineLvl w:val="1"/>
        <w:rPr>
          <w:sz w:val="28"/>
          <w:szCs w:val="28"/>
        </w:rPr>
      </w:pPr>
      <w:r w:rsidRPr="00D178BA">
        <w:rPr>
          <w:sz w:val="28"/>
          <w:szCs w:val="28"/>
        </w:rPr>
        <w:t>Les additifs sont des matériaux ajoutés en petites quantités aux composants de l’enrobé pour en améliorer les propriétés. Ils peuvent être introduits soit dans le mélange au moment du malaxage soit directement dans la cuve bitume :</w:t>
      </w:r>
    </w:p>
    <w:p w:rsidR="003E7843" w:rsidRPr="00D178BA" w:rsidRDefault="003E7843" w:rsidP="003E7843">
      <w:pPr>
        <w:spacing w:before="240" w:line="360" w:lineRule="auto"/>
        <w:jc w:val="both"/>
        <w:outlineLvl w:val="2"/>
        <w:rPr>
          <w:b/>
          <w:bCs/>
          <w:sz w:val="28"/>
          <w:szCs w:val="28"/>
        </w:rPr>
      </w:pPr>
      <w:bookmarkStart w:id="0" w:name="Dopes_d.27adh.C3.A9sivit.C3.A9"/>
      <w:bookmarkEnd w:id="0"/>
      <w:r w:rsidRPr="00D178BA">
        <w:rPr>
          <w:b/>
          <w:bCs/>
          <w:sz w:val="28"/>
          <w:szCs w:val="28"/>
        </w:rPr>
        <w:t>Dopes d'adhésivité</w:t>
      </w:r>
    </w:p>
    <w:p w:rsidR="003E7843" w:rsidRPr="00D178BA" w:rsidRDefault="003E7843" w:rsidP="003E7843">
      <w:pPr>
        <w:spacing w:before="240" w:line="360" w:lineRule="auto"/>
        <w:ind w:firstLine="567"/>
        <w:jc w:val="both"/>
        <w:rPr>
          <w:sz w:val="28"/>
          <w:szCs w:val="28"/>
        </w:rPr>
      </w:pPr>
      <w:r w:rsidRPr="00D178BA">
        <w:rPr>
          <w:sz w:val="28"/>
          <w:szCs w:val="28"/>
        </w:rPr>
        <w:t>Pour améliorer l'affinité réciproque entre le liant et les granulats et en assurer la pérennité, des dopes d'adhésivité peuvent être utilisés. II s'agit principalement de composés tensioactifs azotés dérivés des acides gras (amines, polyamines...) dosés à environ 0,3 à 0,6% du bitume. La chaux ou les fines calcaires, dosées jusqu'à 1 % du bitume, peuvent également être utilisées comme agents dopants.</w:t>
      </w:r>
    </w:p>
    <w:p w:rsidR="003E7843" w:rsidRPr="00D178BA" w:rsidRDefault="003E7843" w:rsidP="003E7843">
      <w:pPr>
        <w:spacing w:before="240" w:line="360" w:lineRule="auto"/>
        <w:jc w:val="both"/>
        <w:outlineLvl w:val="2"/>
        <w:rPr>
          <w:b/>
          <w:bCs/>
          <w:sz w:val="28"/>
          <w:szCs w:val="28"/>
        </w:rPr>
      </w:pPr>
      <w:bookmarkStart w:id="1" w:name="Poly.C3.A9thyl.C3.A8ne"/>
      <w:bookmarkEnd w:id="1"/>
      <w:r w:rsidRPr="00D178BA">
        <w:rPr>
          <w:b/>
          <w:bCs/>
          <w:sz w:val="28"/>
          <w:szCs w:val="28"/>
        </w:rPr>
        <w:t>Polyéthylène</w:t>
      </w:r>
    </w:p>
    <w:p w:rsidR="003E7843" w:rsidRPr="00D178BA" w:rsidRDefault="003E7843" w:rsidP="003E7843">
      <w:pPr>
        <w:spacing w:before="240" w:line="360" w:lineRule="auto"/>
        <w:ind w:firstLine="567"/>
        <w:jc w:val="both"/>
        <w:rPr>
          <w:sz w:val="28"/>
          <w:szCs w:val="28"/>
        </w:rPr>
      </w:pPr>
      <w:r w:rsidRPr="00D178BA">
        <w:rPr>
          <w:sz w:val="28"/>
          <w:szCs w:val="28"/>
        </w:rPr>
        <w:t>Provenance : déchets de câble, broyage de bouteilles de lait, de films polyéthylène, polyéthylène neuf.</w:t>
      </w:r>
    </w:p>
    <w:p w:rsidR="003E7843" w:rsidRPr="00D178BA" w:rsidRDefault="003E7843" w:rsidP="003E7843">
      <w:pPr>
        <w:spacing w:before="240" w:line="360" w:lineRule="auto"/>
        <w:ind w:firstLine="567"/>
        <w:jc w:val="both"/>
        <w:rPr>
          <w:sz w:val="28"/>
          <w:szCs w:val="28"/>
        </w:rPr>
      </w:pPr>
      <w:r w:rsidRPr="00D178BA">
        <w:rPr>
          <w:sz w:val="28"/>
          <w:szCs w:val="28"/>
        </w:rPr>
        <w:t>Les déchets de polyéthylène sont souvent un mélange de polyéthylène de haute et basse densité. Lors de la fusion voisine de 130 °C le polyéthylène se combine en partie avec le bitume. Le dosage est habituellement compris entre 0,4 % et 1 %, par rapport aux granulats. La proportion de polyéthylène par rapport au bitume, peut ainsi varier entre 20 % et 66 %.</w:t>
      </w:r>
    </w:p>
    <w:p w:rsidR="003E7843" w:rsidRPr="00D178BA" w:rsidRDefault="003E7843" w:rsidP="003E7843">
      <w:pPr>
        <w:spacing w:before="240" w:line="360" w:lineRule="auto"/>
        <w:jc w:val="both"/>
        <w:outlineLvl w:val="2"/>
        <w:rPr>
          <w:b/>
          <w:bCs/>
          <w:sz w:val="28"/>
          <w:szCs w:val="28"/>
        </w:rPr>
      </w:pPr>
      <w:bookmarkStart w:id="2" w:name="Polym.C3.A8res"/>
      <w:bookmarkEnd w:id="2"/>
      <w:r w:rsidRPr="00D178BA">
        <w:rPr>
          <w:b/>
          <w:bCs/>
          <w:sz w:val="28"/>
          <w:szCs w:val="28"/>
        </w:rPr>
        <w:t>Polymères</w:t>
      </w:r>
    </w:p>
    <w:p w:rsidR="003E7843" w:rsidRPr="00D178BA" w:rsidRDefault="003E7843" w:rsidP="003E7843">
      <w:pPr>
        <w:spacing w:before="240" w:line="360" w:lineRule="auto"/>
        <w:ind w:firstLine="567"/>
        <w:jc w:val="both"/>
        <w:rPr>
          <w:sz w:val="28"/>
          <w:szCs w:val="28"/>
        </w:rPr>
      </w:pPr>
      <w:r w:rsidRPr="00D178BA">
        <w:rPr>
          <w:sz w:val="28"/>
          <w:szCs w:val="28"/>
        </w:rPr>
        <w:t>Ils se présentent sous forme de granulés incorporés lors du malaxage du mélange.</w:t>
      </w:r>
    </w:p>
    <w:p w:rsidR="003E7843" w:rsidRPr="00D178BA" w:rsidRDefault="003E7843" w:rsidP="003E7843">
      <w:pPr>
        <w:spacing w:before="240" w:line="360" w:lineRule="auto"/>
        <w:jc w:val="both"/>
        <w:outlineLvl w:val="2"/>
        <w:rPr>
          <w:b/>
          <w:bCs/>
          <w:sz w:val="28"/>
          <w:szCs w:val="28"/>
        </w:rPr>
      </w:pPr>
      <w:bookmarkStart w:id="3" w:name="Poudrette_de_caoutchouc_et_granulats_de_"/>
      <w:bookmarkEnd w:id="3"/>
    </w:p>
    <w:p w:rsidR="003E7843" w:rsidRPr="00D178BA" w:rsidRDefault="003E7843" w:rsidP="003E7843">
      <w:pPr>
        <w:spacing w:before="240" w:line="360" w:lineRule="auto"/>
        <w:jc w:val="both"/>
        <w:outlineLvl w:val="2"/>
        <w:rPr>
          <w:b/>
          <w:bCs/>
          <w:sz w:val="28"/>
          <w:szCs w:val="28"/>
        </w:rPr>
      </w:pPr>
    </w:p>
    <w:p w:rsidR="003E7843" w:rsidRPr="00D178BA" w:rsidRDefault="003E7843" w:rsidP="003E7843">
      <w:pPr>
        <w:spacing w:before="240" w:line="360" w:lineRule="auto"/>
        <w:jc w:val="both"/>
        <w:outlineLvl w:val="2"/>
        <w:rPr>
          <w:b/>
          <w:bCs/>
          <w:sz w:val="28"/>
          <w:szCs w:val="28"/>
        </w:rPr>
      </w:pPr>
      <w:r w:rsidRPr="00D178BA">
        <w:rPr>
          <w:b/>
          <w:bCs/>
          <w:sz w:val="28"/>
          <w:szCs w:val="28"/>
        </w:rPr>
        <w:lastRenderedPageBreak/>
        <w:t>Poudrette de caoutchouc et granulats de caoutchouc </w:t>
      </w:r>
    </w:p>
    <w:p w:rsidR="003E7843" w:rsidRPr="00D178BA" w:rsidRDefault="003E7843" w:rsidP="003E7843">
      <w:pPr>
        <w:spacing w:before="240" w:line="360" w:lineRule="auto"/>
        <w:ind w:firstLine="567"/>
        <w:jc w:val="both"/>
        <w:rPr>
          <w:sz w:val="28"/>
          <w:szCs w:val="28"/>
        </w:rPr>
      </w:pPr>
      <w:r w:rsidRPr="00D178BA">
        <w:rPr>
          <w:sz w:val="28"/>
          <w:szCs w:val="28"/>
        </w:rPr>
        <w:t>Incorporé au moment du malaxage, le caoutchouc se combine partiellement avec le bitume. La température de fabrication est supérieure à celle du bitume pur.</w:t>
      </w:r>
      <w:r w:rsidRPr="00D178BA">
        <w:rPr>
          <w:sz w:val="28"/>
          <w:szCs w:val="28"/>
        </w:rPr>
        <w:br/>
        <w:t>La masse volumique du caoutchouc est de 1,15 g/cm</w:t>
      </w:r>
      <w:r w:rsidRPr="00D178BA">
        <w:rPr>
          <w:sz w:val="28"/>
          <w:szCs w:val="28"/>
          <w:vertAlign w:val="superscript"/>
        </w:rPr>
        <w:t>3</w:t>
      </w:r>
      <w:r w:rsidRPr="00D178BA">
        <w:rPr>
          <w:sz w:val="28"/>
          <w:szCs w:val="28"/>
        </w:rPr>
        <w:t>.</w:t>
      </w:r>
    </w:p>
    <w:p w:rsidR="003E7843" w:rsidRPr="00D178BA" w:rsidRDefault="003E7843" w:rsidP="003E7843">
      <w:pPr>
        <w:spacing w:before="240" w:line="360" w:lineRule="auto"/>
        <w:jc w:val="both"/>
        <w:outlineLvl w:val="2"/>
        <w:rPr>
          <w:b/>
          <w:bCs/>
          <w:sz w:val="28"/>
          <w:szCs w:val="28"/>
        </w:rPr>
      </w:pPr>
      <w:bookmarkStart w:id="4" w:name="Fibres_neuves_et_de_recyclage"/>
      <w:bookmarkEnd w:id="4"/>
      <w:r w:rsidRPr="00D178BA">
        <w:rPr>
          <w:b/>
          <w:bCs/>
          <w:sz w:val="28"/>
          <w:szCs w:val="28"/>
        </w:rPr>
        <w:t>Fibres neuves et de recyclage</w:t>
      </w:r>
    </w:p>
    <w:p w:rsidR="003E7843" w:rsidRPr="00D178BA" w:rsidRDefault="003E7843" w:rsidP="003E7843">
      <w:pPr>
        <w:spacing w:before="240" w:line="360" w:lineRule="auto"/>
        <w:ind w:firstLine="567"/>
        <w:jc w:val="both"/>
        <w:rPr>
          <w:sz w:val="28"/>
          <w:szCs w:val="28"/>
        </w:rPr>
      </w:pPr>
      <w:r w:rsidRPr="00D178BA">
        <w:rPr>
          <w:sz w:val="28"/>
          <w:szCs w:val="28"/>
        </w:rPr>
        <w:t>Les fibres peuvent être mélangées au liant préalablement ou introduites dans le mélange à sec ou encore après incorporation du bitume. Selon le type de fibres, le mode de préparation en laboratoire doit être adapté tout en restant fidèle au mode d'incorporation industrielle.</w:t>
      </w:r>
    </w:p>
    <w:p w:rsidR="003E7843" w:rsidRPr="00D178BA" w:rsidRDefault="003E7843" w:rsidP="003E7843">
      <w:pPr>
        <w:spacing w:before="240" w:line="360" w:lineRule="auto"/>
        <w:ind w:firstLine="567"/>
        <w:rPr>
          <w:sz w:val="28"/>
          <w:szCs w:val="28"/>
        </w:rPr>
      </w:pPr>
      <w:r w:rsidRPr="00D178BA">
        <w:rPr>
          <w:sz w:val="28"/>
          <w:szCs w:val="28"/>
        </w:rPr>
        <w:t xml:space="preserve">Différentes natures de fibres sont utilisées : </w:t>
      </w:r>
      <w:r w:rsidRPr="00D178BA">
        <w:rPr>
          <w:sz w:val="28"/>
          <w:szCs w:val="28"/>
        </w:rPr>
        <w:br/>
      </w:r>
      <w:r w:rsidRPr="00D178BA">
        <w:rPr>
          <w:b/>
          <w:bCs/>
          <w:i/>
          <w:iCs/>
          <w:sz w:val="28"/>
          <w:szCs w:val="28"/>
        </w:rPr>
        <w:t>Verre</w:t>
      </w:r>
      <w:r w:rsidRPr="00D178BA">
        <w:rPr>
          <w:sz w:val="28"/>
          <w:szCs w:val="28"/>
        </w:rPr>
        <w:br/>
        <w:t>Ce sont des fibres inorganiques de longueur comprise entre 100 μm et 10 mm, d'un diamètre de l'ordre de 5 μm à 6 μm. Le traitement de surface conditionne les propriétés induites. Le dosage habituel est de 0,8 % par rapport aux granulats. Leur masse volumique est de 2,5 g/cm3 et leur surface spécifique théorique est de 0,3 m2/g.</w:t>
      </w:r>
    </w:p>
    <w:p w:rsidR="003E7843" w:rsidRDefault="003E7843" w:rsidP="003E7843">
      <w:pPr>
        <w:spacing w:before="240" w:line="360" w:lineRule="auto"/>
        <w:jc w:val="both"/>
        <w:rPr>
          <w:sz w:val="28"/>
          <w:szCs w:val="28"/>
        </w:rPr>
      </w:pPr>
      <w:r w:rsidRPr="00D178BA">
        <w:rPr>
          <w:b/>
          <w:bCs/>
          <w:i/>
          <w:iCs/>
          <w:sz w:val="28"/>
          <w:szCs w:val="28"/>
        </w:rPr>
        <w:t>Cellulose</w:t>
      </w:r>
      <w:r w:rsidRPr="00D178BA">
        <w:rPr>
          <w:sz w:val="28"/>
          <w:szCs w:val="28"/>
        </w:rPr>
        <w:br/>
        <w:t>Ce sont des fibres naturelles de longueur ~ 1,1 mm, d'un diamètre de l'ordre de 15 μm à 50pm. Elles peuvent être pré-enrobées sous forme de granulés. Leur dosage est de 0,3 % au maximum par rapport aux granulats. Leur masse volumique est de 0,9 g/cm3 et leur surface spécifique théorique est de 0,16 m2/g.</w:t>
      </w:r>
    </w:p>
    <w:p w:rsidR="002D175C" w:rsidRPr="00D178BA" w:rsidRDefault="002D175C" w:rsidP="003E7843">
      <w:pPr>
        <w:spacing w:before="240" w:line="360" w:lineRule="auto"/>
        <w:jc w:val="both"/>
        <w:rPr>
          <w:sz w:val="28"/>
          <w:szCs w:val="28"/>
        </w:rPr>
      </w:pPr>
    </w:p>
    <w:p w:rsidR="003E7843" w:rsidRPr="00D178BA" w:rsidRDefault="003E7843" w:rsidP="003E7843">
      <w:pPr>
        <w:spacing w:before="240" w:line="360" w:lineRule="auto"/>
        <w:jc w:val="both"/>
        <w:rPr>
          <w:sz w:val="28"/>
          <w:szCs w:val="28"/>
        </w:rPr>
      </w:pPr>
      <w:r w:rsidRPr="00D178BA">
        <w:rPr>
          <w:b/>
          <w:bCs/>
          <w:i/>
          <w:iCs/>
          <w:sz w:val="28"/>
          <w:szCs w:val="28"/>
        </w:rPr>
        <w:lastRenderedPageBreak/>
        <w:t>Roche</w:t>
      </w:r>
      <w:r w:rsidRPr="00D178BA">
        <w:rPr>
          <w:sz w:val="28"/>
          <w:szCs w:val="28"/>
        </w:rPr>
        <w:br/>
        <w:t>Ce sont des fibres minérales de longueur comprise entre 200 μm et 2 mm, d'un diamètre de l'ordre de 3 μm à 5 μm. Leur masse volumique est de 2,7 g/cm3 et leur surface spécifique théorique est de 0,6 m2/g.</w:t>
      </w:r>
    </w:p>
    <w:p w:rsidR="003E7843" w:rsidRPr="00D178BA" w:rsidRDefault="003E7843" w:rsidP="003E7843">
      <w:pPr>
        <w:spacing w:before="240" w:line="360" w:lineRule="auto"/>
        <w:jc w:val="both"/>
        <w:rPr>
          <w:sz w:val="28"/>
          <w:szCs w:val="28"/>
        </w:rPr>
      </w:pPr>
      <w:r w:rsidRPr="00D178BA">
        <w:rPr>
          <w:b/>
          <w:bCs/>
          <w:i/>
          <w:iCs/>
          <w:sz w:val="28"/>
          <w:szCs w:val="28"/>
        </w:rPr>
        <w:t>Polyester</w:t>
      </w:r>
      <w:r w:rsidRPr="00D178BA">
        <w:rPr>
          <w:sz w:val="28"/>
          <w:szCs w:val="28"/>
        </w:rPr>
        <w:br/>
        <w:t>Ce sont des fibres synthétiques de longueur comprise entre 600 μm et 1,2 mm, voire 6 mm. Elles résistent à une température de 220°C. Le dosage est de l'ordre de 0,6 % par rapport aux granulats.</w:t>
      </w:r>
    </w:p>
    <w:p w:rsidR="003E7843" w:rsidRPr="00D178BA" w:rsidRDefault="003E7843" w:rsidP="003E7843">
      <w:pPr>
        <w:spacing w:before="240" w:line="360" w:lineRule="auto"/>
        <w:jc w:val="both"/>
        <w:rPr>
          <w:sz w:val="28"/>
          <w:szCs w:val="28"/>
        </w:rPr>
      </w:pPr>
      <w:r w:rsidRPr="00D178BA">
        <w:rPr>
          <w:b/>
          <w:bCs/>
          <w:i/>
          <w:iCs/>
          <w:sz w:val="28"/>
          <w:szCs w:val="28"/>
        </w:rPr>
        <w:t>Composite</w:t>
      </w:r>
      <w:r w:rsidRPr="00D178BA">
        <w:rPr>
          <w:sz w:val="28"/>
          <w:szCs w:val="28"/>
        </w:rPr>
        <w:br/>
        <w:t>Ce sont des fibres issues de produits de recyclage par exemple de pièces automobiles.</w:t>
      </w:r>
    </w:p>
    <w:p w:rsidR="003E7843" w:rsidRPr="00D178BA" w:rsidRDefault="003E7843" w:rsidP="003E7843">
      <w:pPr>
        <w:spacing w:before="240" w:line="360" w:lineRule="auto"/>
        <w:jc w:val="both"/>
        <w:outlineLvl w:val="2"/>
        <w:rPr>
          <w:b/>
          <w:bCs/>
          <w:sz w:val="28"/>
          <w:szCs w:val="28"/>
        </w:rPr>
      </w:pPr>
      <w:bookmarkStart w:id="5" w:name="Bitumes_et_asphaltes_naturels"/>
      <w:bookmarkEnd w:id="5"/>
      <w:r w:rsidRPr="00D178BA">
        <w:rPr>
          <w:b/>
          <w:bCs/>
          <w:sz w:val="28"/>
          <w:szCs w:val="28"/>
        </w:rPr>
        <w:t>Bitumes et asphaltes naturels</w:t>
      </w:r>
    </w:p>
    <w:p w:rsidR="003E7843" w:rsidRPr="00D178BA" w:rsidRDefault="003E7843" w:rsidP="003E7843">
      <w:pPr>
        <w:spacing w:before="240" w:line="360" w:lineRule="auto"/>
        <w:rPr>
          <w:sz w:val="28"/>
          <w:szCs w:val="28"/>
        </w:rPr>
      </w:pPr>
      <w:r w:rsidRPr="00D178BA">
        <w:rPr>
          <w:b/>
          <w:bCs/>
          <w:i/>
          <w:iCs/>
          <w:sz w:val="28"/>
          <w:szCs w:val="28"/>
        </w:rPr>
        <w:t xml:space="preserve">Bitume de Trinidad épuré : </w:t>
      </w:r>
      <w:r w:rsidRPr="00D178BA">
        <w:rPr>
          <w:sz w:val="28"/>
          <w:szCs w:val="28"/>
        </w:rPr>
        <w:br/>
        <w:t>Le bitume épuré est extrait par raffinage, il contient une partie minérale, sa masse volumique est voisine de 1,40 g/cm3, la pénétration à 25 °C est comprise entre 1 1/10 mm et 4 1/10 mm, et la température bille-anneau supérieure à 90 °C. (Le bitume « soluble » a une pénétration standard de 3 à 12 1/10 mm et une température bille-anneau comprise entre 68 et 78 °C).</w:t>
      </w:r>
    </w:p>
    <w:p w:rsidR="003E7843" w:rsidRPr="00D178BA" w:rsidRDefault="003E7843" w:rsidP="003E7843">
      <w:pPr>
        <w:spacing w:before="240" w:line="360" w:lineRule="auto"/>
        <w:rPr>
          <w:sz w:val="28"/>
          <w:szCs w:val="28"/>
        </w:rPr>
      </w:pPr>
      <w:r w:rsidRPr="00D178BA">
        <w:rPr>
          <w:b/>
          <w:bCs/>
          <w:i/>
          <w:iCs/>
          <w:sz w:val="28"/>
          <w:szCs w:val="28"/>
        </w:rPr>
        <w:t>Poudre de Trinidad 50/50</w:t>
      </w:r>
      <w:r w:rsidRPr="00D178BA">
        <w:rPr>
          <w:sz w:val="28"/>
          <w:szCs w:val="28"/>
        </w:rPr>
        <w:br/>
        <w:t>C'est un mélange composé de 50 % de bitume de Trinidad épuré et de 50 % de filler calcaire.</w:t>
      </w:r>
    </w:p>
    <w:p w:rsidR="003E7843" w:rsidRPr="00D178BA" w:rsidRDefault="003E7843" w:rsidP="003E7843">
      <w:pPr>
        <w:spacing w:before="240" w:line="360" w:lineRule="auto"/>
        <w:jc w:val="both"/>
        <w:rPr>
          <w:sz w:val="28"/>
          <w:szCs w:val="28"/>
        </w:rPr>
      </w:pPr>
      <w:r w:rsidRPr="00D178BA">
        <w:rPr>
          <w:b/>
          <w:bCs/>
          <w:i/>
          <w:iCs/>
          <w:sz w:val="28"/>
          <w:szCs w:val="28"/>
        </w:rPr>
        <w:t xml:space="preserve">Gilsonite : </w:t>
      </w:r>
      <w:r w:rsidRPr="00D178BA">
        <w:rPr>
          <w:sz w:val="28"/>
          <w:szCs w:val="28"/>
        </w:rPr>
        <w:br/>
        <w:t>La Gilsonite est un hydrocarbure naturel, qui se présente sous forme de 0/2. La masse volumique est de 1,05 g/cm3, la pénétration standard est voisine de 0 (1/10 mm) et la température bille-anneau supérieure à 150°C. Le dosage va de quelques pour-cent à 10 % des granulats secs.</w:t>
      </w:r>
    </w:p>
    <w:p w:rsidR="003E7843" w:rsidRPr="00D178BA" w:rsidRDefault="003E7843" w:rsidP="003E7843">
      <w:pPr>
        <w:spacing w:before="240" w:line="360" w:lineRule="auto"/>
        <w:jc w:val="both"/>
        <w:outlineLvl w:val="2"/>
        <w:rPr>
          <w:b/>
          <w:bCs/>
          <w:sz w:val="28"/>
          <w:szCs w:val="28"/>
        </w:rPr>
      </w:pPr>
      <w:bookmarkStart w:id="6" w:name="Colorants"/>
      <w:bookmarkEnd w:id="6"/>
      <w:r w:rsidRPr="00D178BA">
        <w:rPr>
          <w:b/>
          <w:bCs/>
          <w:sz w:val="28"/>
          <w:szCs w:val="28"/>
        </w:rPr>
        <w:lastRenderedPageBreak/>
        <w:t>Colorants</w:t>
      </w:r>
    </w:p>
    <w:p w:rsidR="003E7843" w:rsidRPr="00D178BA" w:rsidRDefault="003E7843" w:rsidP="003E7843">
      <w:pPr>
        <w:spacing w:before="240" w:line="360" w:lineRule="auto"/>
        <w:ind w:firstLine="567"/>
        <w:jc w:val="both"/>
        <w:rPr>
          <w:sz w:val="28"/>
          <w:szCs w:val="28"/>
        </w:rPr>
      </w:pPr>
      <w:r w:rsidRPr="00D178BA">
        <w:rPr>
          <w:sz w:val="28"/>
          <w:szCs w:val="28"/>
        </w:rPr>
        <w:t>Les pigments organiques fournissent des nuances variées et très lumineuses, mais présentent une instabilité à la lumière et aux températures élevées.</w:t>
      </w:r>
    </w:p>
    <w:p w:rsidR="003E7843" w:rsidRPr="00D178BA" w:rsidRDefault="003E7843" w:rsidP="003E7843">
      <w:pPr>
        <w:spacing w:before="240" w:line="360" w:lineRule="auto"/>
        <w:ind w:firstLine="567"/>
        <w:jc w:val="both"/>
        <w:rPr>
          <w:sz w:val="28"/>
          <w:szCs w:val="28"/>
        </w:rPr>
      </w:pPr>
      <w:r w:rsidRPr="00D178BA">
        <w:rPr>
          <w:sz w:val="28"/>
          <w:szCs w:val="28"/>
        </w:rPr>
        <w:t>Les colorants utilisés en technique routière sont des pigments minéraux qui ont fait preuve de thermo stabilité lors de la confection à chaud des revêtements bitumineux, de résistance aux intempéries ainsi qu'à la lumière (UV).</w:t>
      </w:r>
    </w:p>
    <w:p w:rsidR="003E7843" w:rsidRPr="00D178BA" w:rsidRDefault="003E7843" w:rsidP="003E7843">
      <w:pPr>
        <w:spacing w:before="240" w:line="360" w:lineRule="auto"/>
        <w:ind w:firstLine="567"/>
        <w:jc w:val="both"/>
        <w:rPr>
          <w:sz w:val="28"/>
          <w:szCs w:val="28"/>
        </w:rPr>
      </w:pPr>
      <w:r w:rsidRPr="00D178BA">
        <w:rPr>
          <w:sz w:val="28"/>
          <w:szCs w:val="28"/>
        </w:rPr>
        <w:t>Les plus courants sont les oxydes métalliques suivants :</w:t>
      </w:r>
    </w:p>
    <w:p w:rsidR="003E7843" w:rsidRPr="00D178BA" w:rsidRDefault="003E7843" w:rsidP="003E7843">
      <w:pPr>
        <w:numPr>
          <w:ilvl w:val="0"/>
          <w:numId w:val="1"/>
        </w:numPr>
        <w:spacing w:before="240" w:line="360" w:lineRule="auto"/>
        <w:ind w:firstLine="567"/>
        <w:jc w:val="both"/>
        <w:rPr>
          <w:sz w:val="28"/>
          <w:szCs w:val="28"/>
        </w:rPr>
      </w:pPr>
      <w:r w:rsidRPr="00D178BA">
        <w:rPr>
          <w:sz w:val="28"/>
          <w:szCs w:val="28"/>
        </w:rPr>
        <w:t xml:space="preserve">Les oxydes de fer de couleur rouge, jaune ou grise </w:t>
      </w:r>
    </w:p>
    <w:p w:rsidR="003E7843" w:rsidRPr="00D178BA" w:rsidRDefault="003E7843" w:rsidP="003E7843">
      <w:pPr>
        <w:numPr>
          <w:ilvl w:val="0"/>
          <w:numId w:val="1"/>
        </w:numPr>
        <w:spacing w:before="240" w:line="360" w:lineRule="auto"/>
        <w:ind w:firstLine="567"/>
        <w:jc w:val="both"/>
        <w:rPr>
          <w:sz w:val="28"/>
          <w:szCs w:val="28"/>
        </w:rPr>
      </w:pPr>
      <w:r w:rsidRPr="00D178BA">
        <w:rPr>
          <w:sz w:val="28"/>
          <w:szCs w:val="28"/>
        </w:rPr>
        <w:t xml:space="preserve">Le chromate de plomb jaune clair </w:t>
      </w:r>
    </w:p>
    <w:p w:rsidR="003E7843" w:rsidRPr="00D178BA" w:rsidRDefault="003E7843" w:rsidP="003E7843">
      <w:pPr>
        <w:numPr>
          <w:ilvl w:val="0"/>
          <w:numId w:val="1"/>
        </w:numPr>
        <w:spacing w:before="240" w:line="360" w:lineRule="auto"/>
        <w:ind w:firstLine="567"/>
        <w:jc w:val="both"/>
        <w:rPr>
          <w:sz w:val="28"/>
          <w:szCs w:val="28"/>
        </w:rPr>
      </w:pPr>
      <w:r w:rsidRPr="00D178BA">
        <w:rPr>
          <w:sz w:val="28"/>
          <w:szCs w:val="28"/>
        </w:rPr>
        <w:t xml:space="preserve">L'oxyde de chrome de couleur verte </w:t>
      </w:r>
    </w:p>
    <w:p w:rsidR="003E7843" w:rsidRPr="00D178BA" w:rsidRDefault="003E7843" w:rsidP="003E7843">
      <w:pPr>
        <w:numPr>
          <w:ilvl w:val="0"/>
          <w:numId w:val="1"/>
        </w:numPr>
        <w:spacing w:before="240" w:line="360" w:lineRule="auto"/>
        <w:ind w:firstLine="567"/>
        <w:jc w:val="both"/>
        <w:rPr>
          <w:sz w:val="28"/>
          <w:szCs w:val="28"/>
        </w:rPr>
      </w:pPr>
      <w:r w:rsidRPr="00D178BA">
        <w:rPr>
          <w:sz w:val="28"/>
          <w:szCs w:val="28"/>
        </w:rPr>
        <w:t xml:space="preserve">L'oxyde de cobalt de couleur bleue </w:t>
      </w:r>
    </w:p>
    <w:p w:rsidR="003E7843" w:rsidRPr="00D178BA" w:rsidRDefault="003E7843" w:rsidP="003E7843">
      <w:pPr>
        <w:numPr>
          <w:ilvl w:val="0"/>
          <w:numId w:val="1"/>
        </w:numPr>
        <w:spacing w:before="240" w:line="360" w:lineRule="auto"/>
        <w:ind w:firstLine="567"/>
        <w:jc w:val="both"/>
        <w:rPr>
          <w:sz w:val="28"/>
          <w:szCs w:val="28"/>
        </w:rPr>
      </w:pPr>
      <w:r w:rsidRPr="00D178BA">
        <w:rPr>
          <w:sz w:val="28"/>
          <w:szCs w:val="28"/>
        </w:rPr>
        <w:t>L'oxyde de titane de couleur blanche.</w:t>
      </w:r>
    </w:p>
    <w:p w:rsidR="003E7843" w:rsidRPr="00D178BA" w:rsidRDefault="003E7843" w:rsidP="003E7843">
      <w:pPr>
        <w:spacing w:before="240" w:line="360" w:lineRule="auto"/>
        <w:jc w:val="both"/>
        <w:rPr>
          <w:rFonts w:ascii="Matura MT Script Capitals" w:hAnsi="Matura MT Script Capitals"/>
          <w:b/>
          <w:bCs/>
          <w:sz w:val="28"/>
          <w:szCs w:val="28"/>
        </w:rPr>
      </w:pPr>
    </w:p>
    <w:p w:rsidR="003E7843" w:rsidRPr="00D178BA" w:rsidRDefault="003E7843" w:rsidP="003E7843">
      <w:pPr>
        <w:spacing w:before="240" w:line="360" w:lineRule="auto"/>
        <w:jc w:val="both"/>
        <w:rPr>
          <w:rFonts w:ascii="Matura MT Script Capitals" w:hAnsi="Matura MT Script Capitals"/>
          <w:b/>
          <w:bCs/>
          <w:sz w:val="28"/>
          <w:szCs w:val="28"/>
        </w:rPr>
      </w:pPr>
    </w:p>
    <w:p w:rsidR="003E7843" w:rsidRPr="00D178BA" w:rsidRDefault="003E7843" w:rsidP="003E7843">
      <w:pPr>
        <w:spacing w:before="240" w:line="360" w:lineRule="auto"/>
        <w:jc w:val="both"/>
        <w:rPr>
          <w:rFonts w:ascii="Matura MT Script Capitals" w:hAnsi="Matura MT Script Capitals"/>
          <w:b/>
          <w:bCs/>
          <w:sz w:val="28"/>
          <w:szCs w:val="28"/>
        </w:rPr>
      </w:pPr>
    </w:p>
    <w:p w:rsidR="003E7843" w:rsidRPr="00D178BA" w:rsidRDefault="003E7843" w:rsidP="003E7843">
      <w:pPr>
        <w:spacing w:before="240" w:line="360" w:lineRule="auto"/>
        <w:jc w:val="both"/>
        <w:rPr>
          <w:rFonts w:ascii="Matura MT Script Capitals" w:hAnsi="Matura MT Script Capitals"/>
          <w:b/>
          <w:bCs/>
          <w:sz w:val="28"/>
          <w:szCs w:val="28"/>
        </w:rPr>
      </w:pPr>
    </w:p>
    <w:p w:rsidR="003E7843" w:rsidRPr="00D178BA" w:rsidRDefault="003E7843" w:rsidP="003E7843">
      <w:pPr>
        <w:spacing w:before="240" w:line="360" w:lineRule="auto"/>
        <w:jc w:val="both"/>
        <w:rPr>
          <w:rFonts w:ascii="Matura MT Script Capitals" w:hAnsi="Matura MT Script Capitals"/>
          <w:b/>
          <w:bCs/>
          <w:sz w:val="28"/>
          <w:szCs w:val="28"/>
        </w:rPr>
      </w:pPr>
    </w:p>
    <w:p w:rsidR="003E7843" w:rsidRPr="00D178BA" w:rsidRDefault="003E7843" w:rsidP="003E7843">
      <w:pPr>
        <w:spacing w:before="240" w:line="360" w:lineRule="auto"/>
        <w:jc w:val="both"/>
        <w:rPr>
          <w:rFonts w:ascii="Matura MT Script Capitals" w:hAnsi="Matura MT Script Capitals"/>
          <w:b/>
          <w:bCs/>
          <w:sz w:val="28"/>
          <w:szCs w:val="28"/>
        </w:rPr>
      </w:pPr>
    </w:p>
    <w:p w:rsidR="003E7843" w:rsidRPr="00D178BA" w:rsidRDefault="003E7843" w:rsidP="003E7843">
      <w:pPr>
        <w:spacing w:before="240" w:line="360" w:lineRule="auto"/>
        <w:jc w:val="both"/>
        <w:rPr>
          <w:rFonts w:ascii="Matura MT Script Capitals" w:hAnsi="Matura MT Script Capitals"/>
          <w:b/>
          <w:bCs/>
          <w:sz w:val="28"/>
          <w:szCs w:val="28"/>
        </w:rPr>
      </w:pPr>
    </w:p>
    <w:p w:rsidR="003E7843" w:rsidRPr="00D178BA" w:rsidRDefault="003E7843" w:rsidP="003E7843">
      <w:pPr>
        <w:spacing w:before="240" w:line="360" w:lineRule="auto"/>
        <w:jc w:val="both"/>
        <w:rPr>
          <w:rFonts w:ascii="Rockwell Condensed" w:hAnsi="Rockwell Condensed"/>
          <w:b/>
          <w:bCs/>
          <w:sz w:val="28"/>
          <w:szCs w:val="28"/>
        </w:rPr>
      </w:pPr>
      <w:r w:rsidRPr="00D178BA">
        <w:rPr>
          <w:rFonts w:ascii="Rockwell Condensed" w:hAnsi="Rockwell Condensed"/>
          <w:b/>
          <w:bCs/>
          <w:sz w:val="28"/>
          <w:szCs w:val="28"/>
        </w:rPr>
        <w:lastRenderedPageBreak/>
        <w:t>VI. Les types de modifications par polymères : </w:t>
      </w:r>
    </w:p>
    <w:p w:rsidR="003E7843" w:rsidRPr="00D178BA" w:rsidRDefault="003E7843" w:rsidP="003E7843">
      <w:pPr>
        <w:spacing w:before="240" w:line="360" w:lineRule="auto"/>
        <w:ind w:firstLine="567"/>
        <w:jc w:val="both"/>
        <w:rPr>
          <w:sz w:val="28"/>
          <w:szCs w:val="28"/>
        </w:rPr>
      </w:pPr>
      <w:r w:rsidRPr="00D178BA">
        <w:rPr>
          <w:sz w:val="28"/>
          <w:szCs w:val="28"/>
        </w:rPr>
        <w:t>Il existe deux types:</w:t>
      </w:r>
    </w:p>
    <w:p w:rsidR="003E7843" w:rsidRPr="00D178BA" w:rsidRDefault="003E7843" w:rsidP="003E7843">
      <w:pPr>
        <w:spacing w:before="240" w:line="360" w:lineRule="auto"/>
        <w:jc w:val="both"/>
        <w:rPr>
          <w:rStyle w:val="mw-headline"/>
          <w:rFonts w:ascii="Rockwell Condensed" w:eastAsiaTheme="minorHAnsi" w:hAnsi="Rockwell Condensed" w:cstheme="minorBidi"/>
          <w:sz w:val="28"/>
          <w:szCs w:val="28"/>
          <w:lang w:eastAsia="en-US"/>
        </w:rPr>
      </w:pPr>
      <w:r w:rsidRPr="00D178BA">
        <w:rPr>
          <w:rStyle w:val="mw-headline"/>
          <w:rFonts w:ascii="Rockwell Condensed" w:eastAsiaTheme="minorHAnsi" w:hAnsi="Rockwell Condensed" w:cstheme="minorBidi"/>
          <w:sz w:val="28"/>
          <w:szCs w:val="28"/>
          <w:lang w:eastAsia="en-US"/>
        </w:rPr>
        <w:t xml:space="preserve">VI.1 Les liants modifiés plastomères </w:t>
      </w:r>
    </w:p>
    <w:p w:rsidR="003E7843" w:rsidRPr="00D178BA" w:rsidRDefault="003E7843" w:rsidP="003E7843">
      <w:pPr>
        <w:spacing w:before="240" w:line="360" w:lineRule="auto"/>
        <w:ind w:firstLine="567"/>
        <w:jc w:val="both"/>
        <w:rPr>
          <w:rFonts w:ascii="Arial" w:hAnsi="Arial" w:cs="Arial"/>
          <w:sz w:val="28"/>
          <w:szCs w:val="28"/>
        </w:rPr>
      </w:pPr>
      <w:r w:rsidRPr="00D178BA">
        <w:rPr>
          <w:sz w:val="28"/>
          <w:szCs w:val="28"/>
        </w:rPr>
        <w:t xml:space="preserve">Bitume polymère de nature élastomérique. Ce liant disponible en différents grades pour les enrobés, est un produit à hautes performances. De nature multigrade, il résiste à chaud comme un bitume dur et reste flexible à froid comme un bitume mou. Malgré sa forte modification, il possède une grande stabilité au stockage. Il procure aux enrobés une grande maniabilité et une grande facilité d’application. Il est particulièrement recommandé en couches minces, très minces ou ultra-minces sur chaussées à fortes déflexions, fissurées ou pavées. Il convient également pour les techniques d’enrobés drainants, de revêtements d’ouvrages d’art, de sables enrobés retardateurs de remontées de fissures voire d’enrobés de rechargement léger </w:t>
      </w:r>
      <w:r w:rsidR="00431BE4">
        <w:rPr>
          <w:sz w:val="28"/>
          <w:szCs w:val="28"/>
        </w:rPr>
        <w:t>[24]</w:t>
      </w:r>
      <w:r w:rsidRPr="00D178BA">
        <w:rPr>
          <w:rFonts w:ascii="Arial" w:hAnsi="Arial" w:cs="Arial"/>
          <w:sz w:val="28"/>
          <w:szCs w:val="28"/>
        </w:rPr>
        <w:t xml:space="preserve">.  </w:t>
      </w:r>
    </w:p>
    <w:p w:rsidR="003E7843" w:rsidRPr="00D178BA" w:rsidRDefault="003E7843" w:rsidP="003E7843">
      <w:pPr>
        <w:spacing w:before="240" w:line="360" w:lineRule="auto"/>
        <w:jc w:val="both"/>
        <w:rPr>
          <w:rStyle w:val="mw-headline"/>
          <w:rFonts w:ascii="Rockwell Condensed" w:eastAsiaTheme="minorHAnsi" w:hAnsi="Rockwell Condensed" w:cstheme="minorBidi"/>
          <w:lang w:eastAsia="en-US"/>
        </w:rPr>
      </w:pPr>
      <w:r w:rsidRPr="00D178BA">
        <w:rPr>
          <w:rStyle w:val="mw-headline"/>
          <w:rFonts w:ascii="Rockwell Condensed" w:eastAsiaTheme="minorHAnsi" w:hAnsi="Rockwell Condensed" w:cstheme="minorBidi"/>
          <w:sz w:val="28"/>
          <w:szCs w:val="28"/>
          <w:lang w:eastAsia="en-US"/>
        </w:rPr>
        <w:t>VI.2 Les liants modifiés élastomères</w:t>
      </w:r>
      <w:r w:rsidRPr="00D178BA">
        <w:rPr>
          <w:rStyle w:val="mw-headline"/>
          <w:rFonts w:ascii="Rockwell Condensed" w:eastAsiaTheme="minorHAnsi" w:hAnsi="Rockwell Condensed" w:cstheme="minorBidi"/>
          <w:lang w:eastAsia="en-US"/>
        </w:rPr>
        <w:t xml:space="preserve"> </w:t>
      </w:r>
    </w:p>
    <w:p w:rsidR="003E7843" w:rsidRPr="00D178BA" w:rsidRDefault="003E7843" w:rsidP="003E7843">
      <w:pPr>
        <w:pStyle w:val="NormalWeb"/>
        <w:spacing w:before="240" w:beforeAutospacing="0" w:after="0" w:afterAutospacing="0" w:line="360" w:lineRule="auto"/>
        <w:ind w:firstLine="567"/>
        <w:jc w:val="both"/>
        <w:rPr>
          <w:sz w:val="28"/>
          <w:szCs w:val="28"/>
        </w:rPr>
      </w:pPr>
      <w:r w:rsidRPr="00D178BA">
        <w:rPr>
          <w:sz w:val="28"/>
          <w:szCs w:val="28"/>
        </w:rPr>
        <w:t>On distingue les mélanges physiques et les bitumes élastomères obtenus par réticulation. Les mélanges physiques sont généralement hétérogènes à une échelle de quelques micromètres. La finesse de la structure des bitumes élastomères va directement intervenir sur la stabilité du mélange à chaud et sur ses propriétés physiques sur toute la gamme de températures.</w:t>
      </w:r>
    </w:p>
    <w:p w:rsidR="003E7843" w:rsidRPr="00D178BA" w:rsidRDefault="003E7843" w:rsidP="003E7843">
      <w:pPr>
        <w:pStyle w:val="NormalWeb"/>
        <w:spacing w:before="240" w:beforeAutospacing="0" w:after="0" w:afterAutospacing="0" w:line="360" w:lineRule="auto"/>
        <w:ind w:firstLine="567"/>
        <w:jc w:val="both"/>
        <w:rPr>
          <w:sz w:val="28"/>
          <w:szCs w:val="28"/>
        </w:rPr>
      </w:pPr>
      <w:r w:rsidRPr="00D178BA">
        <w:rPr>
          <w:sz w:val="28"/>
          <w:szCs w:val="28"/>
        </w:rPr>
        <w:t>Les bitumes élastomères réticulés ont une structure résultant d'une double forme de liaisons extrêmement fines, de l'ordre du micromètre. Cette réaction est irréversible.</w:t>
      </w:r>
    </w:p>
    <w:p w:rsidR="003E7843" w:rsidRPr="00D178BA" w:rsidRDefault="003E7843" w:rsidP="003E7843">
      <w:pPr>
        <w:pStyle w:val="NormalWeb"/>
        <w:spacing w:before="240" w:beforeAutospacing="0" w:after="0" w:afterAutospacing="0" w:line="360" w:lineRule="auto"/>
        <w:ind w:firstLine="567"/>
        <w:jc w:val="both"/>
        <w:rPr>
          <w:sz w:val="28"/>
          <w:szCs w:val="28"/>
        </w:rPr>
      </w:pPr>
      <w:r w:rsidRPr="00D178BA">
        <w:rPr>
          <w:sz w:val="28"/>
          <w:szCs w:val="28"/>
        </w:rPr>
        <w:t>Les bitumes élastomères réticulés ont par rapport au liant initial, des résistances en traction plus élevées, ainsi que des raideurs et des ductilités augmentées.</w:t>
      </w:r>
    </w:p>
    <w:p w:rsidR="003E7843" w:rsidRPr="00D178BA" w:rsidRDefault="003E7843" w:rsidP="003E7843">
      <w:pPr>
        <w:pStyle w:val="NormalWeb"/>
        <w:spacing w:before="240" w:beforeAutospacing="0" w:after="0" w:afterAutospacing="0" w:line="360" w:lineRule="auto"/>
        <w:ind w:firstLine="567"/>
        <w:jc w:val="both"/>
        <w:rPr>
          <w:sz w:val="28"/>
          <w:szCs w:val="28"/>
        </w:rPr>
      </w:pPr>
      <w:r w:rsidRPr="00D178BA">
        <w:rPr>
          <w:sz w:val="28"/>
          <w:szCs w:val="28"/>
        </w:rPr>
        <w:lastRenderedPageBreak/>
        <w:t xml:space="preserve">La modification du bitume par des élastomères induit des différences de comportement rhéologique. Par rapport au bitume pur, le BmP </w:t>
      </w:r>
      <w:r>
        <w:rPr>
          <w:sz w:val="28"/>
          <w:szCs w:val="28"/>
        </w:rPr>
        <w:t>(</w:t>
      </w:r>
      <w:r w:rsidRPr="00D178BA">
        <w:rPr>
          <w:sz w:val="28"/>
          <w:szCs w:val="28"/>
        </w:rPr>
        <w:t>SBS</w:t>
      </w:r>
      <w:r>
        <w:rPr>
          <w:sz w:val="28"/>
          <w:szCs w:val="28"/>
        </w:rPr>
        <w:t>)</w:t>
      </w:r>
      <w:r w:rsidRPr="00D178BA">
        <w:rPr>
          <w:sz w:val="28"/>
          <w:szCs w:val="28"/>
        </w:rPr>
        <w:t xml:space="preserve"> présente, à basse température, des modules plus faibles, donc une meilleure flexibilité. La situation s'inverse à hautes températures. Pour un bitume donné, cette modification du comportement rhéologique, dépend de la nature et de la teneur en polymères </w:t>
      </w:r>
      <w:r w:rsidR="00431BE4">
        <w:rPr>
          <w:sz w:val="28"/>
          <w:szCs w:val="28"/>
        </w:rPr>
        <w:t>[23]</w:t>
      </w:r>
      <w:r w:rsidRPr="00D178BA">
        <w:rPr>
          <w:sz w:val="28"/>
          <w:szCs w:val="28"/>
        </w:rPr>
        <w:t>.</w:t>
      </w:r>
    </w:p>
    <w:p w:rsidR="003E7843" w:rsidRPr="00D178BA" w:rsidRDefault="003E7843" w:rsidP="003E7843">
      <w:pPr>
        <w:spacing w:before="240" w:line="360" w:lineRule="auto"/>
        <w:ind w:firstLine="567"/>
        <w:jc w:val="both"/>
        <w:rPr>
          <w:rFonts w:ascii="Arial" w:hAnsi="Arial" w:cs="Arial"/>
          <w:sz w:val="28"/>
          <w:szCs w:val="28"/>
        </w:rPr>
      </w:pPr>
      <w:r w:rsidRPr="00D178BA">
        <w:rPr>
          <w:sz w:val="28"/>
          <w:szCs w:val="28"/>
        </w:rPr>
        <w:t xml:space="preserve">Bitume polymère de nature élastomérique. Ce liant disponible en différents grades pour les enrobés, est un produit à hautes performances. Malgré sa forte modification, il possède une grande stabilité au stockage. Il est particulièrement recommandé en couches minces, très minces ou ultra-minces sur chaussées à fortes déflexions, fissurées ou pavées. Il convient également pour les techniques d’enrobés drainants, de revêtements d’ouvrages d’art, de sables enrobés retardateurs de remontées de fissures voire d’enrobés de rechargement léger </w:t>
      </w:r>
      <w:r w:rsidR="00431BE4">
        <w:rPr>
          <w:sz w:val="28"/>
          <w:szCs w:val="28"/>
        </w:rPr>
        <w:t>[24]</w:t>
      </w:r>
      <w:r w:rsidRPr="00D178BA">
        <w:rPr>
          <w:rFonts w:ascii="Arial" w:hAnsi="Arial" w:cs="Arial"/>
          <w:sz w:val="28"/>
          <w:szCs w:val="28"/>
        </w:rPr>
        <w:t xml:space="preserve">. </w:t>
      </w:r>
    </w:p>
    <w:p w:rsidR="003E7843" w:rsidRPr="005C5580" w:rsidRDefault="00491567" w:rsidP="003E7843">
      <w:pPr>
        <w:pStyle w:val="NormalWeb"/>
        <w:spacing w:before="240" w:beforeAutospacing="0" w:after="0" w:afterAutospacing="0" w:line="360" w:lineRule="auto"/>
        <w:jc w:val="both"/>
        <w:rPr>
          <w:rFonts w:ascii="Bernard MT Condensed" w:hAnsi="Bernard MT Condensed"/>
          <w:sz w:val="27"/>
          <w:szCs w:val="27"/>
        </w:rPr>
      </w:pPr>
      <w:r>
        <w:rPr>
          <w:rFonts w:ascii="Rockwell Condensed" w:hAnsi="Rockwell Condensed"/>
          <w:b/>
          <w:bCs/>
          <w:sz w:val="28"/>
          <w:szCs w:val="28"/>
        </w:rPr>
        <w:t xml:space="preserve">VII. </w:t>
      </w:r>
      <w:r w:rsidR="003E7843" w:rsidRPr="005C5580">
        <w:rPr>
          <w:rFonts w:ascii="Rockwell Condensed" w:hAnsi="Rockwell Condensed"/>
          <w:b/>
          <w:bCs/>
          <w:sz w:val="28"/>
          <w:szCs w:val="28"/>
        </w:rPr>
        <w:t>Compatibilité Bitume-Polymère</w:t>
      </w:r>
      <w:r w:rsidR="003E7843" w:rsidRPr="005C5580">
        <w:rPr>
          <w:rFonts w:ascii="Bernard MT Condensed" w:hAnsi="Bernard MT Condensed"/>
          <w:sz w:val="27"/>
          <w:szCs w:val="27"/>
        </w:rPr>
        <w:t xml:space="preserve">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Le choix de polymères pour modifier les bitumes est restreint à quelques familles chimiques, essentiellement les plastomères et les élastomères </w:t>
      </w:r>
      <w:r w:rsidR="00431BE4">
        <w:rPr>
          <w:sz w:val="28"/>
          <w:szCs w:val="28"/>
        </w:rPr>
        <w:t>[26]</w:t>
      </w:r>
      <w:r w:rsidRPr="005C5580">
        <w:rPr>
          <w:sz w:val="28"/>
          <w:szCs w:val="28"/>
        </w:rPr>
        <w:t>. Comme chaque bitume possède une composition chimique propre qui dépend de l´origine de son brut et dans une moindre mesure, du procédé de raffinage, composition qui est généralement insuffisamment définie pour prédire une compatibilité avec tel ou tel polymère, le meilleur moyen de tester la compatibilité d´un couple bitume-polymère demeure l´essai de laboratoire. Pourtant, certains chercheurs ont formalisé la notion de compatibilité bitume-polymère selon des principes généraux qui permettent d´anticiper grossièrement l´aptitude d´un bitume à former de bons BMP [</w:t>
      </w:r>
      <w:r>
        <w:rPr>
          <w:sz w:val="28"/>
          <w:szCs w:val="28"/>
        </w:rPr>
        <w:t>6</w:t>
      </w:r>
      <w:r w:rsidRPr="005C5580">
        <w:rPr>
          <w:sz w:val="28"/>
          <w:szCs w:val="28"/>
        </w:rPr>
        <w:t xml:space="preserve">, </w:t>
      </w:r>
      <w:r>
        <w:rPr>
          <w:sz w:val="28"/>
          <w:szCs w:val="28"/>
        </w:rPr>
        <w:t>7</w:t>
      </w:r>
      <w:r w:rsidRPr="005C5580">
        <w:rPr>
          <w:sz w:val="28"/>
          <w:szCs w:val="28"/>
        </w:rPr>
        <w:t xml:space="preserve">] :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 une forte teneur en asphaltènes diminue la compatibilité bitume-polymère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lastRenderedPageBreak/>
        <w:t xml:space="preserve">• l´aromaticité des maltènes doit se situer dans une gamme optimale pour garantir une bonne compatibilité. </w:t>
      </w:r>
    </w:p>
    <w:p w:rsidR="003E7843" w:rsidRPr="005C5580" w:rsidRDefault="003E7843" w:rsidP="002D175C">
      <w:pPr>
        <w:pStyle w:val="NormalWeb"/>
        <w:spacing w:before="240" w:beforeAutospacing="0" w:after="0" w:afterAutospacing="0" w:line="360" w:lineRule="auto"/>
        <w:ind w:firstLine="567"/>
        <w:jc w:val="both"/>
        <w:rPr>
          <w:sz w:val="28"/>
          <w:szCs w:val="28"/>
        </w:rPr>
      </w:pPr>
      <w:r w:rsidRPr="005C5580">
        <w:rPr>
          <w:sz w:val="28"/>
          <w:szCs w:val="28"/>
        </w:rPr>
        <w:t xml:space="preserve">Des approches théoriques permettent de préciser ces concepts. En particulier, Laval et Quivoron ont montré comment le concept de balance hydrophile-lipophile utilisé pour classifier les tensioactifs, peut permettre de prédire la compatibilité de monomères époxy avec le bitume </w:t>
      </w:r>
      <w:r w:rsidR="00431BE4">
        <w:rPr>
          <w:sz w:val="28"/>
          <w:szCs w:val="28"/>
        </w:rPr>
        <w:t>[29]</w:t>
      </w:r>
      <w:r w:rsidRPr="005C5580">
        <w:rPr>
          <w:sz w:val="28"/>
          <w:szCs w:val="28"/>
        </w:rPr>
        <w:t xml:space="preserve">. Cette approche a été raffinée par Laval et Brûlé qui ont montré que la valeur HLB d´une époxy doit être </w:t>
      </w:r>
      <w:r w:rsidR="00431BE4">
        <w:rPr>
          <w:sz w:val="28"/>
          <w:szCs w:val="28"/>
        </w:rPr>
        <w:t>[30]</w:t>
      </w:r>
      <w:r w:rsidRPr="005C5580">
        <w:rPr>
          <w:sz w:val="28"/>
          <w:szCs w:val="28"/>
        </w:rPr>
        <w:t xml:space="preserve"> :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 inférieure à 6,3 ou 8 (suivant la nature du bitume) pour obtenir une miscibilité totale (solubilité),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 entre 6,3 et 9,3 ou entre 8 et 11,8 (suivant la nature du bitume) pour obtenir une bonne compatibilité au sens défini ci-dessus,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 supérieure à 9,3 ou 11,8 (suivant la nature du bitume) pour une insolubilité complète.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Ces résultats sont très intéressants, du fait du caractère prédictif de la notion d´HLB. En effet, Davies a montré que l´HLB d´une molécule peut être prédit d´après sa formule chimique </w:t>
      </w:r>
      <w:r w:rsidR="00431BE4">
        <w:rPr>
          <w:sz w:val="28"/>
          <w:szCs w:val="28"/>
        </w:rPr>
        <w:t>[31]</w:t>
      </w:r>
      <w:r w:rsidRPr="005C5580">
        <w:rPr>
          <w:sz w:val="28"/>
          <w:szCs w:val="28"/>
        </w:rPr>
        <w:t xml:space="preserve">. Ainsi, il devient possible de proposer des molécules à structure chimique optimisée vis-à-vis de leur compatibilité pour un bitume donné, comme vérifié par Laval et Brûlé </w:t>
      </w:r>
      <w:r w:rsidR="00431BE4">
        <w:rPr>
          <w:sz w:val="28"/>
          <w:szCs w:val="28"/>
        </w:rPr>
        <w:t>[28]</w:t>
      </w:r>
      <w:r w:rsidRPr="005C5580">
        <w:rPr>
          <w:sz w:val="28"/>
          <w:szCs w:val="28"/>
        </w:rPr>
        <w:t xml:space="preserve">.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Malheureusement, le concept HLB n´est pas applicable aux macromolécules, et devient donc difficilement utilisables pour les BMP actuels.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Toutefois, des principes assez proches donnent des résultats intéressant, en utilisant les paramètres de solubilité des polymères, qui sont aussi calculables d´après la formule chimique </w:t>
      </w:r>
      <w:r w:rsidR="00431BE4">
        <w:rPr>
          <w:sz w:val="28"/>
          <w:szCs w:val="28"/>
        </w:rPr>
        <w:t>[32]</w:t>
      </w:r>
      <w:r w:rsidRPr="005C5580">
        <w:rPr>
          <w:sz w:val="28"/>
          <w:szCs w:val="28"/>
        </w:rPr>
        <w:t>. Ainsi, il est nécessaire que le paramètre de solubilité d´un polymère soit proche de 17-18 (MPa)</w:t>
      </w:r>
      <w:r w:rsidRPr="005C5580">
        <w:rPr>
          <w:sz w:val="28"/>
          <w:szCs w:val="28"/>
          <w:vertAlign w:val="superscript"/>
        </w:rPr>
        <w:t>0.5</w:t>
      </w:r>
      <w:r w:rsidRPr="005C5580">
        <w:rPr>
          <w:sz w:val="28"/>
          <w:szCs w:val="28"/>
        </w:rPr>
        <w:t xml:space="preserve">  pour obtenir une bonne </w:t>
      </w:r>
      <w:r w:rsidRPr="005C5580">
        <w:rPr>
          <w:sz w:val="28"/>
          <w:szCs w:val="28"/>
        </w:rPr>
        <w:lastRenderedPageBreak/>
        <w:t xml:space="preserve">compatibilité avec la plupart des bitumes </w:t>
      </w:r>
      <w:r w:rsidR="00431BE4">
        <w:rPr>
          <w:sz w:val="28"/>
          <w:szCs w:val="28"/>
        </w:rPr>
        <w:t>[33]</w:t>
      </w:r>
      <w:r w:rsidRPr="005C5580">
        <w:rPr>
          <w:sz w:val="28"/>
          <w:szCs w:val="28"/>
        </w:rPr>
        <w:t xml:space="preserve">. Cette valeur correspond au paramètre de solubilité des aromatiques du bitume </w:t>
      </w:r>
      <w:r w:rsidR="00431BE4">
        <w:rPr>
          <w:sz w:val="28"/>
          <w:szCs w:val="28"/>
        </w:rPr>
        <w:t>[32]</w:t>
      </w:r>
      <w:r w:rsidRPr="005C5580">
        <w:rPr>
          <w:sz w:val="28"/>
          <w:szCs w:val="28"/>
        </w:rPr>
        <w:t xml:space="preserve">. Pourtant, ces approches basées sur les paramètres de solubilité sont nécessaires mais pas suffisante, car elles ne tiennent pas compte des différences de polarité des molécules ; aussi, des approches plus précises existent dans la littérature sur les mélanges de polymères </w:t>
      </w:r>
      <w:r w:rsidR="00431BE4">
        <w:rPr>
          <w:sz w:val="28"/>
          <w:szCs w:val="28"/>
        </w:rPr>
        <w:t>[34]</w:t>
      </w:r>
      <w:r w:rsidRPr="005C5580">
        <w:rPr>
          <w:sz w:val="28"/>
          <w:szCs w:val="28"/>
        </w:rPr>
        <w:t xml:space="preserve"> mais sont d´un intérêt limité vis-à-vis d´une éventuelle application dans les BMP, suite à la difficulté que représente la mesure des paramètres expérimentaux sur les bitumes.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De manière beaucoup plus pragmatique, Bonemazzi et collaborateurs ont proposé d´utiliser un essai d´absorption d´huile aromatique pour anticiper le gonflement de polymères par le bitume </w:t>
      </w:r>
      <w:r w:rsidR="00431BE4">
        <w:rPr>
          <w:sz w:val="28"/>
          <w:szCs w:val="28"/>
        </w:rPr>
        <w:t>[35]</w:t>
      </w:r>
      <w:r w:rsidRPr="005C5580">
        <w:rPr>
          <w:sz w:val="28"/>
          <w:szCs w:val="28"/>
        </w:rPr>
        <w:t xml:space="preserve">. Aussi, le taux de gonflement du polymère dans le bitume, exprimé comme le volume de phase riche en polymère obtenue pour un volume de polymère introduit, reste le meilleur moyen de quantifier la compatibilité. </w:t>
      </w:r>
    </w:p>
    <w:p w:rsidR="003E7843"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 xml:space="preserve">Du côté du polymère, il est connu que la masse molaire diminue la solubilité </w:t>
      </w:r>
      <w:r w:rsidR="00431BE4">
        <w:rPr>
          <w:sz w:val="28"/>
          <w:szCs w:val="28"/>
        </w:rPr>
        <w:t>[36]</w:t>
      </w:r>
      <w:r w:rsidRPr="005C5580">
        <w:rPr>
          <w:sz w:val="28"/>
          <w:szCs w:val="28"/>
        </w:rPr>
        <w:t xml:space="preserve">, </w:t>
      </w:r>
      <w:r w:rsidRPr="002A0236">
        <w:rPr>
          <w:sz w:val="28"/>
          <w:szCs w:val="28"/>
        </w:rPr>
        <w:t>Ce peu d´effet de la masse moléculaire peut sembler surprenant connaissant son influence sur la solubilité des polymères</w:t>
      </w:r>
      <w:r>
        <w:rPr>
          <w:sz w:val="28"/>
          <w:szCs w:val="28"/>
        </w:rPr>
        <w:t xml:space="preserve"> </w:t>
      </w:r>
      <w:r w:rsidR="00431BE4">
        <w:rPr>
          <w:sz w:val="28"/>
          <w:szCs w:val="28"/>
        </w:rPr>
        <w:t>[37]</w:t>
      </w:r>
      <w:r>
        <w:rPr>
          <w:sz w:val="28"/>
          <w:szCs w:val="28"/>
        </w:rPr>
        <w:t>.</w:t>
      </w:r>
    </w:p>
    <w:p w:rsidR="003E7843" w:rsidRPr="005C5580" w:rsidRDefault="003E7843" w:rsidP="003E7843">
      <w:pPr>
        <w:pStyle w:val="NormalWeb"/>
        <w:spacing w:before="240" w:beforeAutospacing="0" w:after="0" w:afterAutospacing="0" w:line="360" w:lineRule="auto"/>
        <w:ind w:firstLine="567"/>
        <w:jc w:val="both"/>
        <w:rPr>
          <w:sz w:val="28"/>
          <w:szCs w:val="28"/>
        </w:rPr>
      </w:pPr>
    </w:p>
    <w:p w:rsidR="003E7843" w:rsidRPr="005C5580" w:rsidRDefault="00990D95" w:rsidP="003E7843">
      <w:pPr>
        <w:pStyle w:val="NormalWeb"/>
        <w:spacing w:before="240" w:beforeAutospacing="0" w:after="0" w:afterAutospacing="0" w:line="360" w:lineRule="auto"/>
        <w:ind w:firstLine="567"/>
        <w:jc w:val="both"/>
        <w:rPr>
          <w:sz w:val="28"/>
          <w:szCs w:val="28"/>
        </w:rPr>
      </w:pPr>
      <w:r>
        <w:rPr>
          <w:noProof/>
          <w:sz w:val="28"/>
          <w:szCs w:val="28"/>
        </w:rPr>
        <w:pict>
          <v:rect id="_x0000_s1026" style="position:absolute;left:0;text-align:left;margin-left:56.3pt;margin-top:-8.55pt;width:341.6pt;height:189.45pt;z-index:251660288">
            <v:textbox style="mso-next-textbox:#_x0000_s1026">
              <w:txbxContent>
                <w:p w:rsidR="003E7843" w:rsidRDefault="003E7843"/>
                <w:p w:rsidR="003E7843" w:rsidRDefault="003E7843"/>
                <w:p w:rsidR="003E7843" w:rsidRDefault="003E7843"/>
                <w:p w:rsidR="003E7843" w:rsidRDefault="003E7843"/>
                <w:p w:rsidR="003E7843" w:rsidRDefault="003E7843"/>
                <w:p w:rsidR="003E7843" w:rsidRDefault="003E7843"/>
                <w:p w:rsidR="003E7843" w:rsidRDefault="003E7843"/>
                <w:p w:rsidR="003E7843" w:rsidRDefault="003E7843"/>
                <w:p w:rsidR="003E7843" w:rsidRDefault="003E7843"/>
                <w:p w:rsidR="003E7843" w:rsidRDefault="003E7843"/>
                <w:p w:rsidR="003E7843" w:rsidRDefault="003E7843"/>
                <w:p w:rsidR="003E7843" w:rsidRDefault="003E7843"/>
                <w:p w:rsidR="003E7843" w:rsidRPr="005C5580" w:rsidRDefault="003E7843">
                  <w:r>
                    <w:t xml:space="preserve">             </w:t>
                  </w:r>
                  <w:r w:rsidRPr="005C5580">
                    <w:t>Bitume original</w:t>
                  </w:r>
                  <w:r>
                    <w:t xml:space="preserve">                                           </w:t>
                  </w:r>
                  <w:r w:rsidRPr="005C5580">
                    <w:t>BMP</w:t>
                  </w:r>
                </w:p>
              </w:txbxContent>
            </v:textbox>
          </v:rect>
        </w:pict>
      </w:r>
      <w:r>
        <w:rPr>
          <w:noProof/>
          <w:sz w:val="28"/>
          <w:szCs w:val="28"/>
        </w:rPr>
        <w:pict>
          <v:rect id="_x0000_s1028" style="position:absolute;left:0;text-align:left;margin-left:244.35pt;margin-top:-4.25pt;width:134.8pt;height:166.45pt;z-index:251662336">
            <v:textbox style="mso-next-textbox:#_x0000_s1028">
              <w:txbxContent>
                <w:p w:rsidR="003E7843" w:rsidRDefault="003E7843">
                  <w:r>
                    <w:rPr>
                      <w:noProof/>
                    </w:rPr>
                    <w:drawing>
                      <wp:inline distT="0" distB="0" distL="0" distR="0">
                        <wp:extent cx="1518860" cy="1964987"/>
                        <wp:effectExtent l="19050" t="0" r="514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19555" cy="1965886"/>
                                </a:xfrm>
                                <a:prstGeom prst="rect">
                                  <a:avLst/>
                                </a:prstGeom>
                                <a:noFill/>
                                <a:ln w="9525">
                                  <a:noFill/>
                                  <a:miter lim="800000"/>
                                  <a:headEnd/>
                                  <a:tailEnd/>
                                </a:ln>
                              </pic:spPr>
                            </pic:pic>
                          </a:graphicData>
                        </a:graphic>
                      </wp:inline>
                    </w:drawing>
                  </w:r>
                </w:p>
              </w:txbxContent>
            </v:textbox>
          </v:rect>
        </w:pict>
      </w:r>
      <w:r>
        <w:rPr>
          <w:noProof/>
          <w:sz w:val="28"/>
          <w:szCs w:val="28"/>
        </w:rPr>
        <w:pict>
          <v:rect id="_x0000_s1027" style="position:absolute;left:0;text-align:left;margin-left:76.75pt;margin-top:-4.35pt;width:137.35pt;height:166.45pt;z-index:251661312">
            <v:textbox style="mso-next-textbox:#_x0000_s1027">
              <w:txbxContent>
                <w:p w:rsidR="003E7843" w:rsidRDefault="003E7843">
                  <w:r w:rsidRPr="005C5580">
                    <w:rPr>
                      <w:noProof/>
                    </w:rPr>
                    <w:drawing>
                      <wp:inline distT="0" distB="0" distL="0" distR="0">
                        <wp:extent cx="1551940" cy="1650230"/>
                        <wp:effectExtent l="1905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551940" cy="1650230"/>
                                </a:xfrm>
                                <a:prstGeom prst="rect">
                                  <a:avLst/>
                                </a:prstGeom>
                                <a:noFill/>
                                <a:ln w="9525">
                                  <a:noFill/>
                                  <a:miter lim="800000"/>
                                  <a:headEnd/>
                                  <a:tailEnd/>
                                </a:ln>
                              </pic:spPr>
                            </pic:pic>
                          </a:graphicData>
                        </a:graphic>
                      </wp:inline>
                    </w:drawing>
                  </w:r>
                </w:p>
              </w:txbxContent>
            </v:textbox>
          </v:rect>
        </w:pict>
      </w:r>
    </w:p>
    <w:p w:rsidR="003E7843" w:rsidRDefault="003E7843" w:rsidP="003E7843">
      <w:pPr>
        <w:pStyle w:val="NormalWeb"/>
        <w:spacing w:before="240" w:beforeAutospacing="0" w:after="0" w:afterAutospacing="0" w:line="360" w:lineRule="auto"/>
        <w:ind w:firstLine="567"/>
        <w:jc w:val="both"/>
        <w:rPr>
          <w:sz w:val="28"/>
          <w:szCs w:val="28"/>
        </w:rPr>
      </w:pPr>
    </w:p>
    <w:p w:rsidR="003E7843" w:rsidRDefault="003E7843" w:rsidP="003E7843">
      <w:pPr>
        <w:pStyle w:val="NormalWeb"/>
        <w:spacing w:before="240" w:beforeAutospacing="0" w:after="0" w:afterAutospacing="0" w:line="360" w:lineRule="auto"/>
        <w:ind w:firstLine="567"/>
        <w:jc w:val="both"/>
        <w:rPr>
          <w:sz w:val="28"/>
          <w:szCs w:val="28"/>
        </w:rPr>
      </w:pPr>
    </w:p>
    <w:p w:rsidR="003E7843" w:rsidRDefault="003E7843" w:rsidP="003E7843">
      <w:pPr>
        <w:pStyle w:val="NormalWeb"/>
        <w:spacing w:before="240" w:beforeAutospacing="0" w:after="0" w:afterAutospacing="0" w:line="360" w:lineRule="auto"/>
        <w:ind w:firstLine="567"/>
        <w:jc w:val="both"/>
        <w:rPr>
          <w:sz w:val="28"/>
          <w:szCs w:val="28"/>
        </w:rPr>
      </w:pPr>
    </w:p>
    <w:p w:rsidR="003E7843" w:rsidRDefault="003E7843" w:rsidP="003E7843">
      <w:pPr>
        <w:pStyle w:val="NormalWeb"/>
        <w:spacing w:before="240" w:beforeAutospacing="0" w:after="0" w:afterAutospacing="0"/>
        <w:ind w:firstLine="567"/>
        <w:jc w:val="both"/>
        <w:rPr>
          <w:sz w:val="28"/>
          <w:szCs w:val="28"/>
        </w:rPr>
      </w:pPr>
    </w:p>
    <w:p w:rsidR="003E7843" w:rsidRDefault="003E7843" w:rsidP="003E7843">
      <w:pPr>
        <w:pStyle w:val="NormalWeb"/>
        <w:spacing w:before="240" w:beforeAutospacing="0" w:after="0" w:afterAutospacing="0"/>
        <w:jc w:val="both"/>
        <w:rPr>
          <w:sz w:val="26"/>
          <w:szCs w:val="26"/>
        </w:rPr>
      </w:pPr>
    </w:p>
    <w:p w:rsidR="003E7843" w:rsidRPr="005C5580" w:rsidRDefault="003E7843" w:rsidP="003E7843">
      <w:pPr>
        <w:pStyle w:val="NormalWeb"/>
        <w:spacing w:before="240" w:beforeAutospacing="0" w:after="0" w:afterAutospacing="0"/>
        <w:ind w:right="-284"/>
        <w:jc w:val="both"/>
        <w:rPr>
          <w:sz w:val="26"/>
          <w:szCs w:val="26"/>
        </w:rPr>
      </w:pPr>
      <w:r w:rsidRPr="005C5580">
        <w:rPr>
          <w:sz w:val="26"/>
          <w:szCs w:val="26"/>
        </w:rPr>
        <w:t>Figure III.1 : Effet de la modification polymère sur la structure colloïdale du bitume</w:t>
      </w:r>
      <w:r>
        <w:rPr>
          <w:sz w:val="26"/>
          <w:szCs w:val="26"/>
        </w:rPr>
        <w:t xml:space="preserve"> </w:t>
      </w:r>
      <w:r w:rsidR="00431BE4">
        <w:rPr>
          <w:sz w:val="26"/>
          <w:szCs w:val="26"/>
        </w:rPr>
        <w:t>[38]</w:t>
      </w:r>
      <w:r>
        <w:rPr>
          <w:sz w:val="26"/>
          <w:szCs w:val="26"/>
        </w:rPr>
        <w:t>.</w:t>
      </w:r>
      <w:r w:rsidRPr="005C5580">
        <w:rPr>
          <w:sz w:val="26"/>
          <w:szCs w:val="26"/>
        </w:rPr>
        <w:t xml:space="preserve">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lastRenderedPageBreak/>
        <w:t>La nature chimique du polymère devient ainsi le facteur prépondérant conditionnant la compatibilité</w:t>
      </w:r>
      <w:r>
        <w:rPr>
          <w:sz w:val="28"/>
          <w:szCs w:val="28"/>
        </w:rPr>
        <w:t xml:space="preserve"> </w:t>
      </w:r>
      <w:r w:rsidR="00431BE4">
        <w:rPr>
          <w:sz w:val="28"/>
          <w:szCs w:val="28"/>
        </w:rPr>
        <w:t>[38]</w:t>
      </w:r>
      <w:r w:rsidRPr="005C5580">
        <w:rPr>
          <w:sz w:val="28"/>
          <w:szCs w:val="28"/>
        </w:rPr>
        <w:t xml:space="preserve">. </w:t>
      </w:r>
    </w:p>
    <w:p w:rsidR="003E7843" w:rsidRPr="005C5580" w:rsidRDefault="003E7843" w:rsidP="003E7843">
      <w:pPr>
        <w:pStyle w:val="NormalWeb"/>
        <w:spacing w:before="240" w:beforeAutospacing="0" w:after="0" w:afterAutospacing="0" w:line="360" w:lineRule="auto"/>
        <w:ind w:firstLine="567"/>
        <w:jc w:val="both"/>
        <w:rPr>
          <w:sz w:val="28"/>
          <w:szCs w:val="28"/>
        </w:rPr>
      </w:pPr>
      <w:r w:rsidRPr="005C5580">
        <w:rPr>
          <w:sz w:val="28"/>
          <w:szCs w:val="28"/>
        </w:rPr>
        <w:t>De fait, la compatibilité bitume-polymère est un facteur essentiel régissant les propriétés d´un BMP, bien que sa définition demeure vague et que son évaluation reste essentiellement empirique, suite à la difficulté de caractériser la chimie des bitumes avec les indicateurs classiques (HLB, paramètres de solubilité,…). Aussi, cette compatibilité, qui s´exprime directement par le taux de gonflement du polymère, dépend à la fois du bitume utilisé et du polymère choisi, ce qui fait que la notion de polymère idéal ne peut être appliquée qu´à un bitume donné et ne pourra être vraie pour l´ensemble des bitumes d´origines diverses</w:t>
      </w:r>
      <w:r>
        <w:rPr>
          <w:sz w:val="28"/>
          <w:szCs w:val="28"/>
        </w:rPr>
        <w:t xml:space="preserve"> </w:t>
      </w:r>
      <w:r w:rsidR="00431BE4">
        <w:rPr>
          <w:sz w:val="28"/>
          <w:szCs w:val="28"/>
        </w:rPr>
        <w:t>[38]</w:t>
      </w:r>
      <w:r w:rsidRPr="005C5580">
        <w:rPr>
          <w:sz w:val="28"/>
          <w:szCs w:val="28"/>
        </w:rPr>
        <w:t>.</w:t>
      </w:r>
    </w:p>
    <w:p w:rsidR="003E7843" w:rsidRPr="005C5580" w:rsidRDefault="003E7843" w:rsidP="003E7843">
      <w:pPr>
        <w:pStyle w:val="NormalWeb"/>
        <w:spacing w:before="240" w:beforeAutospacing="0" w:after="0" w:afterAutospacing="0" w:line="360" w:lineRule="auto"/>
        <w:ind w:firstLine="567"/>
        <w:jc w:val="both"/>
        <w:rPr>
          <w:sz w:val="28"/>
          <w:szCs w:val="28"/>
        </w:rPr>
      </w:pPr>
    </w:p>
    <w:p w:rsidR="00740D0F" w:rsidRDefault="00740D0F"/>
    <w:sectPr w:rsidR="00740D0F" w:rsidSect="004D33C7">
      <w:headerReference w:type="default" r:id="rId9"/>
      <w:footerReference w:type="default" r:id="rId10"/>
      <w:pgSz w:w="11906" w:h="16838"/>
      <w:pgMar w:top="1417" w:right="1417" w:bottom="1417" w:left="1417" w:header="708" w:footer="708" w:gutter="0"/>
      <w:pgNumType w:start="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5A7" w:rsidRDefault="006F45A7">
      <w:r>
        <w:separator/>
      </w:r>
    </w:p>
  </w:endnote>
  <w:endnote w:type="continuationSeparator" w:id="1">
    <w:p w:rsidR="006F45A7" w:rsidRDefault="006F45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Rockwell Condensed">
    <w:panose1 w:val="02060603050405020104"/>
    <w:charset w:val="00"/>
    <w:family w:val="roman"/>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AE6" w:rsidRDefault="00990D95">
    <w:pPr>
      <w:pStyle w:val="Pieddepage"/>
      <w:jc w:val="right"/>
    </w:pPr>
    <w:fldSimple w:instr=" PAGE   \* MERGEFORMAT ">
      <w:r w:rsidR="00491567">
        <w:rPr>
          <w:noProof/>
        </w:rPr>
        <w:t>46</w:t>
      </w:r>
    </w:fldSimple>
  </w:p>
  <w:p w:rsidR="00636AE6" w:rsidRDefault="00636AE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5A7" w:rsidRDefault="006F45A7">
      <w:r>
        <w:separator/>
      </w:r>
    </w:p>
  </w:footnote>
  <w:footnote w:type="continuationSeparator" w:id="1">
    <w:p w:rsidR="006F45A7" w:rsidRDefault="006F4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AE6" w:rsidRPr="00DD447D" w:rsidRDefault="00990D95" w:rsidP="00636AE6">
    <w:pPr>
      <w:pStyle w:val="En-tte"/>
      <w:rPr>
        <w:rFonts w:asciiTheme="minorHAnsi" w:hAnsiTheme="minorHAnsi"/>
        <w:sz w:val="22"/>
        <w:szCs w:val="22"/>
      </w:rPr>
    </w:pPr>
    <w:r>
      <w:rPr>
        <w:rFonts w:asciiTheme="minorHAnsi" w:hAnsiTheme="minorHAnsi"/>
        <w:noProof/>
        <w:sz w:val="22"/>
        <w:szCs w:val="22"/>
      </w:rPr>
      <w:pict>
        <v:shapetype id="_x0000_t32" coordsize="21600,21600" o:spt="32" o:oned="t" path="m,l21600,21600e" filled="f">
          <v:path arrowok="t" fillok="f" o:connecttype="none"/>
          <o:lock v:ext="edit" shapetype="t"/>
        </v:shapetype>
        <v:shape id="_x0000_s2049" type="#_x0000_t32" style="position:absolute;margin-left:52.8pt;margin-top:8.65pt;width:56.75pt;height:0;z-index:251658240" o:connectortype="straight" strokeweight="3pt">
          <v:shadow on="t" opacity=".5" offset="6pt,6pt"/>
        </v:shape>
      </w:pict>
    </w:r>
    <w:r w:rsidR="00636AE6" w:rsidRPr="00DD447D">
      <w:rPr>
        <w:rFonts w:asciiTheme="minorHAnsi" w:hAnsiTheme="minorHAnsi"/>
        <w:sz w:val="22"/>
        <w:szCs w:val="22"/>
      </w:rPr>
      <w:t>Chapitre</w:t>
    </w:r>
    <w:r w:rsidR="00636AE6">
      <w:rPr>
        <w:rFonts w:asciiTheme="minorHAnsi" w:hAnsiTheme="minorHAnsi"/>
        <w:sz w:val="22"/>
        <w:szCs w:val="22"/>
      </w:rPr>
      <w:t xml:space="preserve"> 3</w:t>
    </w:r>
    <w:r w:rsidR="00636AE6" w:rsidRPr="00DD447D">
      <w:rPr>
        <w:rFonts w:asciiTheme="minorHAnsi" w:hAnsiTheme="minorHAnsi"/>
        <w:sz w:val="22"/>
        <w:szCs w:val="22"/>
      </w:rPr>
      <w:t xml:space="preserve">                            </w:t>
    </w:r>
    <w:r w:rsidR="00636AE6">
      <w:rPr>
        <w:rFonts w:asciiTheme="minorHAnsi" w:hAnsiTheme="minorHAnsi"/>
        <w:sz w:val="22"/>
        <w:szCs w:val="22"/>
      </w:rPr>
      <w:t>Bitumes modifiés, généralités</w:t>
    </w:r>
    <w:r w:rsidR="00636AE6" w:rsidRPr="00DD447D">
      <w:rPr>
        <w:rFonts w:asciiTheme="minorHAnsi" w:hAnsiTheme="minorHAnsi"/>
        <w:sz w:val="22"/>
        <w:szCs w:val="22"/>
      </w:rPr>
      <w:t>.</w:t>
    </w:r>
  </w:p>
  <w:p w:rsidR="00636AE6" w:rsidRDefault="00636AE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00DF3"/>
    <w:multiLevelType w:val="hybridMultilevel"/>
    <w:tmpl w:val="CE681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9D64BAA"/>
    <w:multiLevelType w:val="multilevel"/>
    <w:tmpl w:val="73620C9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hdrShapeDefaults>
    <o:shapedefaults v:ext="edit" spidmax="9218"/>
    <o:shapelayout v:ext="edit">
      <o:idmap v:ext="edit" data="2"/>
      <o:rules v:ext="edit">
        <o:r id="V:Rule2" type="connector" idref="#_x0000_s2049"/>
      </o:rules>
    </o:shapelayout>
  </w:hdrShapeDefaults>
  <w:footnotePr>
    <w:footnote w:id="0"/>
    <w:footnote w:id="1"/>
  </w:footnotePr>
  <w:endnotePr>
    <w:endnote w:id="0"/>
    <w:endnote w:id="1"/>
  </w:endnotePr>
  <w:compat/>
  <w:rsids>
    <w:rsidRoot w:val="003E7843"/>
    <w:rsid w:val="000A6818"/>
    <w:rsid w:val="001A69FB"/>
    <w:rsid w:val="001E4917"/>
    <w:rsid w:val="00252309"/>
    <w:rsid w:val="00254D20"/>
    <w:rsid w:val="0026379F"/>
    <w:rsid w:val="00275612"/>
    <w:rsid w:val="002D175C"/>
    <w:rsid w:val="00364A1F"/>
    <w:rsid w:val="003E7843"/>
    <w:rsid w:val="00415634"/>
    <w:rsid w:val="00431BE4"/>
    <w:rsid w:val="00491567"/>
    <w:rsid w:val="004C2F94"/>
    <w:rsid w:val="004D33C7"/>
    <w:rsid w:val="00554ED7"/>
    <w:rsid w:val="00636AE6"/>
    <w:rsid w:val="006F45A7"/>
    <w:rsid w:val="007152B1"/>
    <w:rsid w:val="00740D0F"/>
    <w:rsid w:val="007A136D"/>
    <w:rsid w:val="00990D95"/>
    <w:rsid w:val="00A41BBA"/>
    <w:rsid w:val="00B66535"/>
    <w:rsid w:val="00CF29EC"/>
    <w:rsid w:val="00D33911"/>
    <w:rsid w:val="00F911AC"/>
    <w:rsid w:val="00F92613"/>
    <w:rsid w:val="00FD103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843"/>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E7843"/>
    <w:pPr>
      <w:spacing w:after="200" w:line="276" w:lineRule="auto"/>
      <w:ind w:left="720"/>
      <w:contextualSpacing/>
    </w:pPr>
    <w:rPr>
      <w:rFonts w:ascii="Calibri" w:eastAsia="Calibri" w:hAnsi="Calibri" w:cs="Arial"/>
      <w:sz w:val="22"/>
      <w:szCs w:val="22"/>
      <w:lang w:eastAsia="en-US"/>
    </w:rPr>
  </w:style>
  <w:style w:type="paragraph" w:styleId="NormalWeb">
    <w:name w:val="Normal (Web)"/>
    <w:basedOn w:val="Normal"/>
    <w:uiPriority w:val="99"/>
    <w:unhideWhenUsed/>
    <w:rsid w:val="003E7843"/>
    <w:pPr>
      <w:spacing w:before="100" w:beforeAutospacing="1" w:after="100" w:afterAutospacing="1"/>
    </w:pPr>
  </w:style>
  <w:style w:type="character" w:customStyle="1" w:styleId="mw-headline">
    <w:name w:val="mw-headline"/>
    <w:basedOn w:val="Policepardfaut"/>
    <w:rsid w:val="003E7843"/>
  </w:style>
  <w:style w:type="paragraph" w:styleId="En-tte">
    <w:name w:val="header"/>
    <w:basedOn w:val="Normal"/>
    <w:link w:val="En-tteCar"/>
    <w:uiPriority w:val="99"/>
    <w:semiHidden/>
    <w:unhideWhenUsed/>
    <w:rsid w:val="003E7843"/>
    <w:pPr>
      <w:tabs>
        <w:tab w:val="center" w:pos="4536"/>
        <w:tab w:val="right" w:pos="9072"/>
      </w:tabs>
    </w:pPr>
  </w:style>
  <w:style w:type="character" w:customStyle="1" w:styleId="En-tteCar">
    <w:name w:val="En-tête Car"/>
    <w:basedOn w:val="Policepardfaut"/>
    <w:link w:val="En-tte"/>
    <w:uiPriority w:val="99"/>
    <w:semiHidden/>
    <w:rsid w:val="003E7843"/>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3E7843"/>
    <w:pPr>
      <w:tabs>
        <w:tab w:val="center" w:pos="4536"/>
        <w:tab w:val="right" w:pos="9072"/>
      </w:tabs>
    </w:pPr>
  </w:style>
  <w:style w:type="character" w:customStyle="1" w:styleId="PieddepageCar">
    <w:name w:val="Pied de page Car"/>
    <w:basedOn w:val="Policepardfaut"/>
    <w:link w:val="Pieddepage"/>
    <w:uiPriority w:val="99"/>
    <w:rsid w:val="003E7843"/>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3E7843"/>
    <w:rPr>
      <w:rFonts w:ascii="Tahoma" w:hAnsi="Tahoma" w:cs="Tahoma"/>
      <w:sz w:val="16"/>
      <w:szCs w:val="16"/>
    </w:rPr>
  </w:style>
  <w:style w:type="character" w:customStyle="1" w:styleId="TextedebullesCar">
    <w:name w:val="Texte de bulles Car"/>
    <w:basedOn w:val="Policepardfaut"/>
    <w:link w:val="Textedebulles"/>
    <w:uiPriority w:val="99"/>
    <w:semiHidden/>
    <w:rsid w:val="003E7843"/>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1949</Words>
  <Characters>10725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AEK+KHADIDJA</Company>
  <LinksUpToDate>false</LinksUpToDate>
  <CharactersWithSpaces>12649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5</cp:revision>
  <cp:lastPrinted>2009-01-01T15:30:00Z</cp:lastPrinted>
  <dcterms:created xsi:type="dcterms:W3CDTF">2008-12-28T12:04:00Z</dcterms:created>
  <dcterms:modified xsi:type="dcterms:W3CDTF">2009-01-02T11:03:00Z</dcterms:modified>
</cp:coreProperties>
</file>